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399AD">
      <w:pPr>
        <w:pStyle w:val="120"/>
        <w:framePr w:wrap="around"/>
      </w:pPr>
      <w:r>
        <w:rPr>
          <w:rFonts w:ascii="Times New Roman"/>
        </w:rPr>
        <w:t>ICS</w:t>
      </w:r>
      <w:r>
        <w:rPr>
          <w:rFonts w:hint="eastAsia" w:ascii="MS Gothic" w:hAnsi="MS Gothic" w:eastAsia="MS Gothic" w:cs="MS Gothic"/>
        </w:rPr>
        <w:t> </w:t>
      </w:r>
      <w:r>
        <w:rPr>
          <w:rFonts w:hint="eastAsia"/>
        </w:rPr>
        <w:t>29.100.01</w:t>
      </w:r>
    </w:p>
    <w:p w14:paraId="308B4E5A">
      <w:pPr>
        <w:pStyle w:val="120"/>
        <w:framePr w:wrap="around"/>
      </w:pPr>
      <w:r>
        <w:t xml:space="preserve">CCS </w:t>
      </w:r>
      <w:r>
        <w:rPr>
          <w:rFonts w:hint="eastAsia"/>
        </w:rPr>
        <w:t>K60</w:t>
      </w:r>
    </w:p>
    <w:tbl>
      <w:tblPr>
        <w:tblStyle w:val="3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4"/>
      </w:tblGrid>
      <w:tr w14:paraId="014AD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shd w:val="clear" w:color="auto" w:fill="auto"/>
          </w:tcPr>
          <w:p w14:paraId="6B4997A1">
            <w:pPr>
              <w:pStyle w:val="120"/>
              <w:framePr w:wrap="around"/>
            </w:pPr>
            <w:r>
              <mc:AlternateContent>
                <mc:Choice Requires="wps">
                  <w:drawing>
                    <wp:anchor distT="0" distB="0" distL="114300" distR="114300" simplePos="0" relativeHeight="251665408" behindDoc="1" locked="0" layoutInCell="1" allowOverlap="1">
                      <wp:simplePos x="0" y="0"/>
                      <wp:positionH relativeFrom="column">
                        <wp:posOffset>-66675</wp:posOffset>
                      </wp:positionH>
                      <wp:positionV relativeFrom="paragraph">
                        <wp:posOffset>0</wp:posOffset>
                      </wp:positionV>
                      <wp:extent cx="866775" cy="198120"/>
                      <wp:effectExtent l="0" t="0" r="0" b="0"/>
                      <wp:wrapNone/>
                      <wp:docPr id="10" name="矩形 10"/>
                      <wp:cNvGraphicFramePr/>
                      <a:graphic xmlns:a="http://schemas.openxmlformats.org/drawingml/2006/main">
                        <a:graphicData uri="http://schemas.microsoft.com/office/word/2010/wordprocessingShape">
                          <wps:wsp>
                            <wps:cNvSpPr>
                              <a:spLocks noChangeArrowheads="1"/>
                            </wps:cNvSpPr>
                            <wps:spPr bwMode="auto">
                              <a:xfrm>
                                <a:off x="0" y="0"/>
                                <a:ext cx="866775" cy="198120"/>
                              </a:xfrm>
                              <a:prstGeom prst="rect">
                                <a:avLst/>
                              </a:prstGeom>
                              <a:solidFill>
                                <a:srgbClr val="FFFFFF"/>
                              </a:solidFill>
                              <a:ln>
                                <a:noFill/>
                              </a:ln>
                              <a:effectLst/>
                            </wps:spPr>
                            <wps:txbx>
                              <w:txbxContent>
                                <w:p w14:paraId="049331C3"/>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5.25pt;margin-top:0pt;height:15.6pt;width:68.25pt;z-index:-251651072;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iu&#10;L+zVAAAABwEAAA8AAAAAAAAAAQAgAAAAIgAAAGRycy9kb3ducmV2LnhtbFBLAQIUABQAAAAIAIdO&#10;4kA5tsXjJgIAAEAEAAAOAAAAAAAAAAEAIAAAACQBAABkcnMvZTJvRG9jLnhtbFBLBQYAAAAABgAG&#10;AFkBAAC8BQAAAAA=&#10;">
                      <v:fill on="t" focussize="0,0"/>
                      <v:stroke on="f"/>
                      <v:imagedata o:title=""/>
                      <o:lock v:ext="edit" aspectratio="f"/>
                      <v:textbox>
                        <w:txbxContent>
                          <w:p w14:paraId="049331C3"/>
                        </w:txbxContent>
                      </v:textbox>
                    </v:rect>
                  </w:pict>
                </mc:Fallback>
              </mc:AlternateContent>
            </w:r>
          </w:p>
        </w:tc>
      </w:tr>
    </w:tbl>
    <w:p w14:paraId="2F87C205">
      <w:pPr>
        <w:pStyle w:val="108"/>
        <w:framePr w:w="9129" w:h="1089" w:hRule="exact" w:wrap="around" w:x="1702" w:y="2439"/>
        <w:jc w:val="center"/>
        <w:rPr>
          <w:sz w:val="72"/>
          <w:szCs w:val="72"/>
        </w:rPr>
      </w:pPr>
      <w:r>
        <w:rPr>
          <w:rFonts w:hint="eastAsia"/>
          <w:sz w:val="72"/>
          <w:szCs w:val="72"/>
          <w:lang w:val="de-DE"/>
        </w:rPr>
        <w:t>团</w:t>
      </w:r>
      <w:r>
        <w:rPr>
          <w:sz w:val="72"/>
          <w:szCs w:val="72"/>
          <w:lang w:val="de-DE"/>
        </w:rPr>
        <w:t xml:space="preserve">     </w:t>
      </w:r>
      <w:r>
        <w:rPr>
          <w:rFonts w:hint="eastAsia"/>
          <w:sz w:val="72"/>
          <w:szCs w:val="72"/>
          <w:lang w:val="de-DE"/>
        </w:rPr>
        <w:t>体</w:t>
      </w:r>
      <w:r>
        <w:rPr>
          <w:sz w:val="72"/>
          <w:szCs w:val="72"/>
          <w:lang w:val="de-DE"/>
        </w:rPr>
        <w:t xml:space="preserve">     </w:t>
      </w:r>
      <w:r>
        <w:rPr>
          <w:rFonts w:hint="eastAsia"/>
          <w:sz w:val="72"/>
          <w:szCs w:val="72"/>
        </w:rPr>
        <w:t>标</w:t>
      </w:r>
      <w:r>
        <w:rPr>
          <w:sz w:val="72"/>
          <w:szCs w:val="72"/>
        </w:rPr>
        <w:t xml:space="preserve">     </w:t>
      </w:r>
      <w:r>
        <w:rPr>
          <w:rFonts w:hint="eastAsia"/>
          <w:sz w:val="72"/>
          <w:szCs w:val="72"/>
        </w:rPr>
        <w:t>准</w:t>
      </w:r>
    </w:p>
    <w:p w14:paraId="062B1994">
      <w:pPr>
        <w:pStyle w:val="47"/>
        <w:framePr w:wrap="around" w:y="3688"/>
        <w:rPr>
          <w:lang w:val="de-DE"/>
        </w:rPr>
      </w:pPr>
      <w:r>
        <w:rPr>
          <w:rFonts w:ascii="Times New Roman"/>
        </w:rPr>
        <w:t xml:space="preserve">T/GSEE </w:t>
      </w:r>
      <w:r>
        <w:rPr>
          <w:rFonts w:ascii="黑体"/>
          <w:szCs w:val="20"/>
        </w:rPr>
        <w:t>XXX-</w:t>
      </w:r>
      <w:r>
        <w:rPr>
          <w:szCs w:val="20"/>
        </w:rPr>
        <w:t>XXXX</w:t>
      </w:r>
    </w:p>
    <w:p w14:paraId="539D1C14">
      <w:pPr>
        <w:pStyle w:val="47"/>
        <w:framePr w:wrap="around" w:y="3688"/>
      </w:pPr>
    </w:p>
    <w:p w14:paraId="4D4B1032">
      <w:pPr>
        <w:pStyle w:val="47"/>
        <w:framePr w:wrap="around" w:y="3688"/>
      </w:pPr>
    </w:p>
    <w:p w14:paraId="7F5AB5E3">
      <w:pPr>
        <w:pStyle w:val="79"/>
        <w:framePr w:w="9414" w:h="5863" w:hRule="exact" w:wrap="around" w:x="1539"/>
        <w:spacing w:line="240" w:lineRule="auto"/>
      </w:pPr>
      <w:bookmarkStart w:id="0" w:name="_Hlk103806392"/>
      <w:bookmarkStart w:id="1" w:name="_Hlk87620042"/>
      <w:r>
        <w:rPr>
          <w:rFonts w:hint="eastAsia" w:eastAsia="黑体"/>
          <w:sz w:val="44"/>
          <w:szCs w:val="44"/>
          <w:lang w:val="en-US" w:eastAsia="zh-CN"/>
        </w:rPr>
        <w:t>配网设备</w:t>
      </w:r>
      <w:r>
        <w:rPr>
          <w:rFonts w:hint="eastAsia" w:ascii="黑体" w:eastAsia="黑体"/>
          <w:sz w:val="44"/>
          <w:szCs w:val="44"/>
        </w:rPr>
        <w:t>差异化抽检规范</w:t>
      </w:r>
      <w:bookmarkEnd w:id="0"/>
      <w:bookmarkEnd w:id="1"/>
    </w:p>
    <w:tbl>
      <w:tblPr>
        <w:tblStyle w:val="3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30"/>
      </w:tblGrid>
      <w:tr w14:paraId="777DD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14:paraId="5600CB23">
            <w:pPr>
              <w:pStyle w:val="80"/>
              <w:framePr w:w="9414" w:h="5863" w:hRule="exact" w:wrap="around" w:x="1539"/>
            </w:pPr>
            <w:r>
              <mc:AlternateContent>
                <mc:Choice Requires="wps">
                  <w:drawing>
                    <wp:anchor distT="0" distB="0" distL="114300" distR="114300" simplePos="0" relativeHeight="251664384" behindDoc="1" locked="1" layoutInCell="1" allowOverlap="1">
                      <wp:simplePos x="0" y="0"/>
                      <wp:positionH relativeFrom="column">
                        <wp:posOffset>2200910</wp:posOffset>
                      </wp:positionH>
                      <wp:positionV relativeFrom="paragraph">
                        <wp:posOffset>4281805</wp:posOffset>
                      </wp:positionV>
                      <wp:extent cx="1905000" cy="254000"/>
                      <wp:effectExtent l="0" t="0" r="0" b="0"/>
                      <wp:wrapNone/>
                      <wp:docPr id="9" name="矩形 9"/>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a:effectLst/>
                            </wps:spPr>
                            <wps:txbx>
                              <w:txbxContent>
                                <w:p w14:paraId="02FD96E8"/>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73.3pt;margin-top:337.15pt;height:20pt;width:150pt;z-index:-251652096;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39f34NcA&#10;AAALAQAADwAAAAAAAAABACAAAAAiAAAAZHJzL2Rvd25yZXYueG1sUEsBAhQAFAAAAAgAh07iQLYr&#10;JvggAgAAPwQAAA4AAAAAAAAAAQAgAAAAJgEAAGRycy9lMm9Eb2MueG1sUEsFBgAAAAAGAAYAWQEA&#10;ALgFAAAAAA==&#10;">
                      <v:fill on="t" focussize="0,0"/>
                      <v:stroke on="f"/>
                      <v:imagedata o:title=""/>
                      <o:lock v:ext="edit" aspectratio="f"/>
                      <v:textbox>
                        <w:txbxContent>
                          <w:p w14:paraId="02FD96E8"/>
                        </w:txbxContent>
                      </v:textbox>
                      <w10:anchorlock/>
                    </v:rect>
                  </w:pict>
                </mc:Fallback>
              </mc:AlternateContent>
            </w:r>
            <w:r>
              <w:rPr>
                <w:rFonts w:hint="eastAsia"/>
              </w:rPr>
              <w:t>(报批稿</w:t>
            </w:r>
            <w:r>
              <w:t>)</w:t>
            </w:r>
            <w:r>
              <w:rPr>
                <w:rFonts w:hint="eastAsia"/>
                <w:color w:val="FF0000"/>
              </w:rPr>
              <w:t xml:space="preserve"> </w:t>
            </w:r>
          </w:p>
        </w:tc>
      </w:tr>
      <w:tr w14:paraId="7F528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FFFFFF" w:themeFill="background1"/>
          </w:tcPr>
          <w:p w14:paraId="32083128">
            <w:pPr>
              <w:pStyle w:val="81"/>
              <w:framePr w:w="9414" w:h="5863" w:hRule="exact" w:wrap="around" w:x="1539"/>
            </w:pPr>
          </w:p>
        </w:tc>
      </w:tr>
    </w:tbl>
    <w:p w14:paraId="1D40A5FC">
      <w:pPr>
        <w:pStyle w:val="127"/>
        <w:framePr w:w="2521" w:wrap="around" w:hAnchor="page" w:x="1468" w:y="13974"/>
      </w:pPr>
      <w:r>
        <w:rPr>
          <w:rFonts w:ascii="黑体"/>
        </w:rPr>
        <mc:AlternateContent>
          <mc:Choice Requires="wps">
            <w:drawing>
              <wp:anchor distT="0" distB="0" distL="114300" distR="114300" simplePos="0" relativeHeight="251666432" behindDoc="0" locked="0" layoutInCell="1" allowOverlap="1">
                <wp:simplePos x="0" y="0"/>
                <wp:positionH relativeFrom="column">
                  <wp:posOffset>1052195</wp:posOffset>
                </wp:positionH>
                <wp:positionV relativeFrom="paragraph">
                  <wp:posOffset>3186430</wp:posOffset>
                </wp:positionV>
                <wp:extent cx="6120130" cy="0"/>
                <wp:effectExtent l="0" t="0" r="0" b="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82.85pt;margin-top:250.9pt;height:0pt;width:481.9pt;z-index:251666432;mso-width-relative:page;mso-height-relative:page;" filled="f" stroked="t" coordsize="21600,21600" o:gfxdata="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YaE3/X&#10;AAAADAEAAA8AAAAAAAAAAQAgAAAAIgAAAGRycy9kb3ducmV2LnhtbFBLAQIUABQAAAAIAIdO4kB+&#10;2Bv66AEAALgDAAAOAAAAAAAAAAEAIAAAACYBAABkcnMvZTJvRG9jLnhtbFBLBQYAAAAABgAGAFkB&#10;AACABQAAAAA=&#10;">
                <v:fill on="f" focussize="0,0"/>
                <v:stroke color="#000000" joinstyle="round"/>
                <v:imagedata o:title=""/>
                <o:lock v:ext="edit" aspectratio="f"/>
              </v:line>
            </w:pict>
          </mc:Fallback>
        </mc:AlternateContent>
      </w:r>
      <w:r>
        <w:rPr>
          <w:rFonts w:ascii="黑体"/>
        </w:rPr>
        <w:t>XXXX-XX-XX</w:t>
      </w:r>
      <w:r>
        <w:rPr>
          <w:rFonts w:hint="eastAsia"/>
        </w:rPr>
        <w:t>发布</w:t>
      </w:r>
    </w:p>
    <w:p w14:paraId="542C706A">
      <w:pPr>
        <w:pStyle w:val="128"/>
        <w:framePr w:w="2501" w:wrap="around" w:hAnchor="page" w:x="8481" w:y="14014"/>
        <w:jc w:val="center"/>
      </w:pPr>
      <w:r>
        <w:rPr>
          <w:rFonts w:ascii="黑体"/>
        </w:rPr>
        <w:t>XXXX-XX-XX</w:t>
      </w:r>
      <w:r>
        <w:rPr>
          <w:rFonts w:hint="eastAsia"/>
        </w:rPr>
        <w:t>实施</w:t>
      </w:r>
    </w:p>
    <w:p w14:paraId="47E1715E">
      <w:pPr>
        <w:pStyle w:val="109"/>
        <w:framePr w:w="8104" w:h="937" w:hRule="exact" w:wrap="around" w:y="15076"/>
      </w:pPr>
      <w:bookmarkStart w:id="2" w:name="fm"/>
      <w:r>
        <w:rPr>
          <w:w w:val="100"/>
        </w:rPr>
        <mc:AlternateContent>
          <mc:Choice Requires="wps">
            <w:drawing>
              <wp:anchor distT="0" distB="0" distL="114300" distR="114300" simplePos="0" relativeHeight="251661312" behindDoc="1" locked="0" layoutInCell="1" allowOverlap="1">
                <wp:simplePos x="0" y="0"/>
                <wp:positionH relativeFrom="column">
                  <wp:posOffset>1810385</wp:posOffset>
                </wp:positionH>
                <wp:positionV relativeFrom="paragraph">
                  <wp:posOffset>-3942715</wp:posOffset>
                </wp:positionV>
                <wp:extent cx="1270000" cy="304800"/>
                <wp:effectExtent l="0" t="0" r="0" b="0"/>
                <wp:wrapNone/>
                <wp:docPr id="5" name="矩形 5"/>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a:effectLst/>
                      </wps:spPr>
                      <wps:txbx>
                        <w:txbxContent>
                          <w:p w14:paraId="7FC01E1B"/>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42.55pt;margin-top:-310.45pt;height:24pt;width:100pt;z-index:-251655168;mso-width-relative:page;mso-height-relative:page;" fillcolor="#FFFFFF" filled="t" stroked="f" coordsize="21600,21600" o:gfxdata="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Xu&#10;1tkAAAANAQAADwAAAAAAAAABACAAAAAiAAAAZHJzL2Rvd25yZXYueG1sUEsBAhQAFAAAAAgAh07i&#10;QNMDR00hAgAAPwQAAA4AAAAAAAAAAQAgAAAAKAEAAGRycy9lMm9Eb2MueG1sUEsFBgAAAAAGAAYA&#10;WQEAALsFAAAAAA==&#10;">
                <v:fill on="t" focussize="0,0"/>
                <v:stroke on="f"/>
                <v:imagedata o:title=""/>
                <o:lock v:ext="edit" aspectratio="f"/>
                <v:textbox>
                  <w:txbxContent>
                    <w:p w14:paraId="7FC01E1B"/>
                  </w:txbxContent>
                </v:textbox>
              </v:rect>
            </w:pict>
          </mc:Fallback>
        </mc:AlternateContent>
      </w:r>
      <w:r>
        <w:rPr>
          <w:w w:val="100"/>
        </w:rPr>
        <mc:AlternateContent>
          <mc:Choice Requires="wps">
            <w:drawing>
              <wp:anchor distT="0" distB="0" distL="114300" distR="114300" simplePos="0" relativeHeight="251660288" behindDoc="1" locked="0" layoutInCell="1" allowOverlap="1">
                <wp:simplePos x="0" y="0"/>
                <wp:positionH relativeFrom="column">
                  <wp:posOffset>4413885</wp:posOffset>
                </wp:positionH>
                <wp:positionV relativeFrom="paragraph">
                  <wp:posOffset>-7435215</wp:posOffset>
                </wp:positionV>
                <wp:extent cx="1143000" cy="228600"/>
                <wp:effectExtent l="0" t="0" r="0" b="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a:effectLst/>
                      </wps:spPr>
                      <wps:txbx>
                        <w:txbxContent>
                          <w:p w14:paraId="7FDB99A0"/>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47.55pt;margin-top:-585.45pt;height:18pt;width:90pt;z-index:-251656192;mso-width-relative:page;mso-height-relative:page;" fillcolor="#FFFFFF" filled="t" stroked="f" coordsize="21600,21600" o:gfxdata="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f&#10;yYoR2gAAAA8BAAAPAAAAAAAAAAEAIAAAACIAAABkcnMvZG93bnJldi54bWxQSwECFAAUAAAACACH&#10;TuJAXtlIICICAAA/BAAADgAAAAAAAAABACAAAAApAQAAZHJzL2Uyb0RvYy54bWxQSwUGAAAAAAYA&#10;BgBZAQAAvQUAAAAA&#10;">
                <v:fill on="t" focussize="0,0"/>
                <v:stroke on="f"/>
                <v:imagedata o:title=""/>
                <o:lock v:ext="edit" aspectratio="f"/>
                <v:textbox>
                  <w:txbxContent>
                    <w:p w14:paraId="7FDB99A0"/>
                  </w:txbxContent>
                </v:textbox>
              </v:rect>
            </w:pict>
          </mc:Fallback>
        </mc:AlternateContent>
      </w:r>
      <w:r>
        <w:fldChar w:fldCharType="begin">
          <w:ffData>
            <w:name w:val="fm"/>
            <w:enabled/>
            <w:calcOnExit w:val="0"/>
            <w:textInput/>
          </w:ffData>
        </w:fldChar>
      </w:r>
      <w:r>
        <w:instrText xml:space="preserve"> FORMTEXT </w:instrText>
      </w:r>
      <w:r>
        <w:fldChar w:fldCharType="separate"/>
      </w:r>
      <w:r>
        <w:rPr>
          <w:rFonts w:hint="eastAsia"/>
        </w:rPr>
        <w:t>广东省电机工程学会</w:t>
      </w:r>
      <w:r>
        <w:fldChar w:fldCharType="end"/>
      </w:r>
      <w:bookmarkEnd w:id="2"/>
      <w:r>
        <w:t>   </w:t>
      </w:r>
      <w:r>
        <w:rPr>
          <w:rStyle w:val="135"/>
          <w:rFonts w:hint="eastAsia"/>
        </w:rPr>
        <w:t>发布</w:t>
      </w:r>
    </w:p>
    <w:p w14:paraId="4C8A0AEF">
      <w:pPr>
        <w:pStyle w:val="25"/>
        <w:sectPr>
          <w:headerReference r:id="rId3" w:type="even"/>
          <w:footerReference r:id="rId4" w:type="even"/>
          <w:pgSz w:w="11906" w:h="16838"/>
          <w:pgMar w:top="567" w:right="850" w:bottom="1134" w:left="1418" w:header="0" w:footer="0" w:gutter="0"/>
          <w:pgNumType w:fmt="upperRoman" w:start="1"/>
          <w:cols w:space="425" w:num="1"/>
          <w:docGrid w:type="lines" w:linePitch="312" w:charSpace="0"/>
        </w:sectPr>
      </w:pPr>
      <w: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8943975</wp:posOffset>
                </wp:positionV>
                <wp:extent cx="6120130" cy="0"/>
                <wp:effectExtent l="0" t="0" r="0" b="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05pt;margin-top:704.25pt;height:0pt;width:481.9pt;z-index:251662336;mso-width-relative:page;mso-height-relative:page;" filled="f" stroked="t" coordsize="21600,21600" o:gfxdata="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9PtXHX&#10;AAAACwEAAA8AAAAAAAAAAQAgAAAAIgAAAGRycy9kb3ducmV2LnhtbFBLAQIUABQAAAAIAIdO4kAB&#10;ob116AEAALgDAAAOAAAAAAAAAAEAIAAAACYBAABkcnMvZTJvRG9jLnhtbFBLBQYAAAAABgAGAFkB&#10;AACA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2673985</wp:posOffset>
                </wp:positionV>
                <wp:extent cx="6120130" cy="0"/>
                <wp:effectExtent l="0" t="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05pt;margin-top:210.55pt;height:0pt;width:481.9pt;z-index:251659264;mso-width-relative:page;mso-height-relative:page;" filled="f" stroked="t" coordsize="21600,21600" o:gfxdata="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hHEdtYA&#10;AAAJAQAADwAAAAAAAAABACAAAAAiAAAAZHJzL2Rvd25yZXYueG1sUEsBAhQAFAAAAAgAh07iQKe4&#10;hjHoAQAAuAMAAA4AAAAAAAAAAQAgAAAAJQEAAGRycy9lMm9Eb2MueG1sUEsFBgAAAAAGAAYAWQEA&#10;AH8FAAAAAA==&#10;">
                <v:fill on="f" focussize="0,0"/>
                <v:stroke color="#000000" joinstyle="round"/>
                <v:imagedata o:title=""/>
                <o:lock v:ext="edit" aspectratio="f"/>
              </v:line>
            </w:pict>
          </mc:Fallback>
        </mc:AlternateContent>
      </w:r>
    </w:p>
    <w:p w14:paraId="22A50A6E">
      <w:pPr>
        <w:pStyle w:val="50"/>
      </w:pPr>
      <w:bookmarkStart w:id="3" w:name="_Toc62463857"/>
      <w:r>
        <w:rPr>
          <w:rFonts w:hint="eastAsia"/>
        </w:rPr>
        <w:t>目</w:t>
      </w:r>
      <w:bookmarkStart w:id="4" w:name="BKML"/>
      <w:r>
        <w:rPr>
          <w:rFonts w:hAnsi="黑体"/>
        </w:rPr>
        <w:t>  </w:t>
      </w:r>
      <w:r>
        <w:rPr>
          <w:rFonts w:hint="eastAsia"/>
        </w:rPr>
        <w:t>次</w:t>
      </w:r>
      <w:bookmarkEnd w:id="4"/>
    </w:p>
    <w:p w14:paraId="02BD8805">
      <w:pPr>
        <w:pStyle w:val="21"/>
        <w:spacing w:before="78" w:after="78" w:line="360" w:lineRule="auto"/>
        <w:rPr>
          <w:rFonts w:asciiTheme="minorHAnsi" w:hAnsiTheme="minorHAnsi" w:eastAsiaTheme="minorEastAsia" w:cstheme="minorBidi"/>
          <w:szCs w:val="22"/>
        </w:rPr>
      </w:pPr>
      <w:r>
        <w:fldChar w:fldCharType="begin"/>
      </w:r>
      <w:r>
        <w:instrText xml:space="preserve"> TOC \h \z \t"前言、引言标题,1,参考文献、索引标题,1,章标题,1,参考文献,1,附录标识,1" \* MERGEFORMAT \* MERGEFORMAT </w:instrText>
      </w:r>
      <w:r>
        <w:fldChar w:fldCharType="separate"/>
      </w:r>
      <w:r>
        <w:rPr>
          <w:rStyle w:val="40"/>
        </w:rPr>
        <w:fldChar w:fldCharType="begin"/>
      </w:r>
      <w:r>
        <w:rPr>
          <w:rStyle w:val="40"/>
        </w:rPr>
        <w:instrText xml:space="preserve"> </w:instrText>
      </w:r>
      <w:r>
        <w:instrText xml:space="preserve">HYPERLINK \l "_Toc102557355"</w:instrText>
      </w:r>
      <w:r>
        <w:rPr>
          <w:rStyle w:val="40"/>
        </w:rPr>
        <w:instrText xml:space="preserve"> </w:instrText>
      </w:r>
      <w:r>
        <w:rPr>
          <w:rStyle w:val="40"/>
        </w:rPr>
        <w:fldChar w:fldCharType="separate"/>
      </w:r>
      <w:r>
        <w:rPr>
          <w:rStyle w:val="40"/>
        </w:rPr>
        <w:t>前  言</w:t>
      </w:r>
      <w:r>
        <w:tab/>
      </w:r>
      <w:r>
        <w:fldChar w:fldCharType="begin"/>
      </w:r>
      <w:r>
        <w:instrText xml:space="preserve"> PAGEREF _Toc102557355 \h </w:instrText>
      </w:r>
      <w:r>
        <w:fldChar w:fldCharType="separate"/>
      </w:r>
      <w:r>
        <w:t>II</w:t>
      </w:r>
      <w:r>
        <w:fldChar w:fldCharType="end"/>
      </w:r>
      <w:r>
        <w:rPr>
          <w:rStyle w:val="40"/>
        </w:rPr>
        <w:fldChar w:fldCharType="end"/>
      </w:r>
    </w:p>
    <w:p w14:paraId="3C17CE1B">
      <w:pPr>
        <w:pStyle w:val="21"/>
        <w:spacing w:before="78" w:after="78" w:line="360" w:lineRule="auto"/>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"_Toc102557356"</w:instrText>
      </w:r>
      <w:r>
        <w:rPr>
          <w:rStyle w:val="40"/>
        </w:rPr>
        <w:instrText xml:space="preserve"> </w:instrText>
      </w:r>
      <w:r>
        <w:rPr>
          <w:rStyle w:val="40"/>
        </w:rPr>
        <w:fldChar w:fldCharType="separate"/>
      </w:r>
      <w:r>
        <w:rPr>
          <w:rStyle w:val="40"/>
        </w:rPr>
        <w:t>1 范围</w:t>
      </w:r>
      <w:r>
        <w:tab/>
      </w:r>
      <w:r>
        <w:fldChar w:fldCharType="begin"/>
      </w:r>
      <w:r>
        <w:instrText xml:space="preserve"> PAGEREF _Toc102557356 \h </w:instrText>
      </w:r>
      <w:r>
        <w:fldChar w:fldCharType="separate"/>
      </w:r>
      <w:r>
        <w:t>1</w:t>
      </w:r>
      <w:r>
        <w:fldChar w:fldCharType="end"/>
      </w:r>
      <w:r>
        <w:rPr>
          <w:rStyle w:val="40"/>
        </w:rPr>
        <w:fldChar w:fldCharType="end"/>
      </w:r>
    </w:p>
    <w:p w14:paraId="784AB4AE">
      <w:pPr>
        <w:pStyle w:val="21"/>
        <w:spacing w:before="78" w:after="78" w:line="360" w:lineRule="auto"/>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"_Toc102557357"</w:instrText>
      </w:r>
      <w:r>
        <w:rPr>
          <w:rStyle w:val="40"/>
        </w:rPr>
        <w:instrText xml:space="preserve"> </w:instrText>
      </w:r>
      <w:r>
        <w:rPr>
          <w:rStyle w:val="40"/>
        </w:rPr>
        <w:fldChar w:fldCharType="separate"/>
      </w:r>
      <w:r>
        <w:rPr>
          <w:rStyle w:val="40"/>
        </w:rPr>
        <w:t>2 规范性引用文件</w:t>
      </w:r>
      <w:r>
        <w:tab/>
      </w:r>
      <w:r>
        <w:fldChar w:fldCharType="begin"/>
      </w:r>
      <w:r>
        <w:instrText xml:space="preserve"> PAGEREF _Toc102557357 \h </w:instrText>
      </w:r>
      <w:r>
        <w:fldChar w:fldCharType="separate"/>
      </w:r>
      <w:r>
        <w:t>1</w:t>
      </w:r>
      <w:r>
        <w:fldChar w:fldCharType="end"/>
      </w:r>
      <w:r>
        <w:rPr>
          <w:rStyle w:val="40"/>
        </w:rPr>
        <w:fldChar w:fldCharType="end"/>
      </w:r>
    </w:p>
    <w:p w14:paraId="65026401">
      <w:pPr>
        <w:pStyle w:val="21"/>
        <w:spacing w:before="78" w:after="78" w:line="360" w:lineRule="auto"/>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"_Toc102557400"</w:instrText>
      </w:r>
      <w:r>
        <w:rPr>
          <w:rStyle w:val="40"/>
        </w:rPr>
        <w:instrText xml:space="preserve"> </w:instrText>
      </w:r>
      <w:r>
        <w:rPr>
          <w:rStyle w:val="40"/>
        </w:rPr>
        <w:fldChar w:fldCharType="separate"/>
      </w:r>
      <w:r>
        <w:rPr>
          <w:rStyle w:val="40"/>
        </w:rPr>
        <w:t>3 术语和定义</w:t>
      </w:r>
      <w:r>
        <w:tab/>
      </w:r>
      <w:r>
        <w:fldChar w:fldCharType="begin"/>
      </w:r>
      <w:r>
        <w:instrText xml:space="preserve"> PAGEREF _Toc102557400 \h </w:instrText>
      </w:r>
      <w:r>
        <w:fldChar w:fldCharType="separate"/>
      </w:r>
      <w:r>
        <w:t>1</w:t>
      </w:r>
      <w:r>
        <w:fldChar w:fldCharType="end"/>
      </w:r>
      <w:r>
        <w:rPr>
          <w:rStyle w:val="40"/>
        </w:rPr>
        <w:fldChar w:fldCharType="end"/>
      </w:r>
    </w:p>
    <w:p w14:paraId="27C370AD">
      <w:pPr>
        <w:pStyle w:val="21"/>
        <w:spacing w:before="78" w:after="78" w:line="360" w:lineRule="auto"/>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"_Toc102557401"</w:instrText>
      </w:r>
      <w:r>
        <w:rPr>
          <w:rStyle w:val="40"/>
        </w:rPr>
        <w:instrText xml:space="preserve"> </w:instrText>
      </w:r>
      <w:r>
        <w:rPr>
          <w:rStyle w:val="40"/>
        </w:rPr>
        <w:fldChar w:fldCharType="separate"/>
      </w:r>
      <w:r>
        <w:rPr>
          <w:rStyle w:val="40"/>
        </w:rPr>
        <w:t xml:space="preserve">4 </w:t>
      </w:r>
      <w:bookmarkStart w:id="5" w:name="_Hlk109165143"/>
      <w:r>
        <w:rPr>
          <w:rStyle w:val="40"/>
        </w:rPr>
        <w:t>配网设备质量数据采集</w:t>
      </w:r>
      <w:bookmarkEnd w:id="5"/>
      <w:r>
        <w:tab/>
      </w:r>
      <w:r>
        <w:fldChar w:fldCharType="begin"/>
      </w:r>
      <w:r>
        <w:instrText xml:space="preserve"> PAGEREF _Toc102557401 \h </w:instrText>
      </w:r>
      <w:r>
        <w:fldChar w:fldCharType="separate"/>
      </w:r>
      <w:r>
        <w:t>4</w:t>
      </w:r>
      <w:r>
        <w:fldChar w:fldCharType="end"/>
      </w:r>
      <w:r>
        <w:rPr>
          <w:rStyle w:val="40"/>
        </w:rPr>
        <w:fldChar w:fldCharType="end"/>
      </w:r>
    </w:p>
    <w:p w14:paraId="0FC66F6C">
      <w:pPr>
        <w:pStyle w:val="21"/>
        <w:spacing w:before="78" w:after="78" w:line="360" w:lineRule="auto"/>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"_Toc102557402"</w:instrText>
      </w:r>
      <w:r>
        <w:rPr>
          <w:rStyle w:val="40"/>
        </w:rPr>
        <w:instrText xml:space="preserve"> </w:instrText>
      </w:r>
      <w:r>
        <w:rPr>
          <w:rStyle w:val="40"/>
        </w:rPr>
        <w:fldChar w:fldCharType="separate"/>
      </w:r>
      <w:r>
        <w:rPr>
          <w:rStyle w:val="40"/>
        </w:rPr>
        <w:t>5 质量评价</w:t>
      </w:r>
      <w:r>
        <w:tab/>
      </w:r>
      <w:r>
        <w:fldChar w:fldCharType="begin"/>
      </w:r>
      <w:r>
        <w:instrText xml:space="preserve"> PAGEREF _Toc102557402 \h </w:instrText>
      </w:r>
      <w:r>
        <w:fldChar w:fldCharType="separate"/>
      </w:r>
      <w:r>
        <w:t>11</w:t>
      </w:r>
      <w:r>
        <w:fldChar w:fldCharType="end"/>
      </w:r>
      <w:r>
        <w:rPr>
          <w:rStyle w:val="40"/>
        </w:rPr>
        <w:fldChar w:fldCharType="end"/>
      </w:r>
    </w:p>
    <w:p w14:paraId="4AAD3C27">
      <w:pPr>
        <w:pStyle w:val="21"/>
        <w:spacing w:before="78" w:after="78" w:line="360" w:lineRule="auto"/>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"_Toc102557403"</w:instrText>
      </w:r>
      <w:r>
        <w:rPr>
          <w:rStyle w:val="40"/>
        </w:rPr>
        <w:instrText xml:space="preserve"> </w:instrText>
      </w:r>
      <w:r>
        <w:rPr>
          <w:rStyle w:val="40"/>
        </w:rPr>
        <w:fldChar w:fldCharType="separate"/>
      </w:r>
      <w:r>
        <w:rPr>
          <w:rStyle w:val="40"/>
        </w:rPr>
        <w:t>6 到货抽检</w:t>
      </w:r>
      <w:r>
        <w:tab/>
      </w:r>
      <w:r>
        <w:fldChar w:fldCharType="begin"/>
      </w:r>
      <w:r>
        <w:instrText xml:space="preserve"> PAGEREF _Toc102557403 \h </w:instrText>
      </w:r>
      <w:r>
        <w:fldChar w:fldCharType="separate"/>
      </w:r>
      <w:r>
        <w:t>14</w:t>
      </w:r>
      <w:r>
        <w:fldChar w:fldCharType="end"/>
      </w:r>
      <w:r>
        <w:rPr>
          <w:rStyle w:val="40"/>
        </w:rPr>
        <w:fldChar w:fldCharType="end"/>
      </w:r>
    </w:p>
    <w:p w14:paraId="72E98DAA">
      <w:pPr>
        <w:pStyle w:val="21"/>
        <w:spacing w:before="78" w:after="78" w:line="360" w:lineRule="auto"/>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"_Toc102557405"</w:instrText>
      </w:r>
      <w:r>
        <w:rPr>
          <w:rStyle w:val="40"/>
        </w:rPr>
        <w:instrText xml:space="preserve"> </w:instrText>
      </w:r>
      <w:r>
        <w:rPr>
          <w:rStyle w:val="40"/>
        </w:rPr>
        <w:fldChar w:fldCharType="separate"/>
      </w:r>
      <w:r>
        <w:rPr>
          <w:rStyle w:val="40"/>
        </w:rPr>
        <w:t>7 差异化抽检</w:t>
      </w:r>
      <w:r>
        <w:tab/>
      </w:r>
      <w:r>
        <w:fldChar w:fldCharType="begin"/>
      </w:r>
      <w:r>
        <w:instrText xml:space="preserve"> PAGEREF _Toc102557405 \h </w:instrText>
      </w:r>
      <w:r>
        <w:fldChar w:fldCharType="separate"/>
      </w:r>
      <w:r>
        <w:t>25</w:t>
      </w:r>
      <w:r>
        <w:fldChar w:fldCharType="end"/>
      </w:r>
      <w:r>
        <w:rPr>
          <w:rStyle w:val="40"/>
        </w:rPr>
        <w:fldChar w:fldCharType="end"/>
      </w:r>
    </w:p>
    <w:p w14:paraId="04ECA960">
      <w:pPr>
        <w:pStyle w:val="21"/>
        <w:spacing w:before="78" w:after="78" w:line="360" w:lineRule="auto"/>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"_Toc102557406"</w:instrText>
      </w:r>
      <w:r>
        <w:rPr>
          <w:rStyle w:val="40"/>
        </w:rPr>
        <w:instrText xml:space="preserve"> </w:instrText>
      </w:r>
      <w:r>
        <w:rPr>
          <w:rStyle w:val="40"/>
        </w:rPr>
        <w:fldChar w:fldCharType="separate"/>
      </w:r>
      <w:r>
        <w:rPr>
          <w:rStyle w:val="40"/>
        </w:rPr>
        <w:t>8 差异化匹配准则</w:t>
      </w:r>
      <w:r>
        <w:tab/>
      </w:r>
      <w:r>
        <w:fldChar w:fldCharType="begin"/>
      </w:r>
      <w:r>
        <w:instrText xml:space="preserve"> PAGEREF _Toc102557406 \h </w:instrText>
      </w:r>
      <w:r>
        <w:fldChar w:fldCharType="separate"/>
      </w:r>
      <w:r>
        <w:t>26</w:t>
      </w:r>
      <w:r>
        <w:fldChar w:fldCharType="end"/>
      </w:r>
      <w:r>
        <w:rPr>
          <w:rStyle w:val="40"/>
        </w:rPr>
        <w:fldChar w:fldCharType="end"/>
      </w:r>
    </w:p>
    <w:p w14:paraId="062A69AC">
      <w:pPr>
        <w:pStyle w:val="21"/>
        <w:spacing w:before="78" w:after="78" w:line="360" w:lineRule="auto"/>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"_Toc102557407"</w:instrText>
      </w:r>
      <w:r>
        <w:rPr>
          <w:rStyle w:val="40"/>
        </w:rPr>
        <w:instrText xml:space="preserve"> </w:instrText>
      </w:r>
      <w:r>
        <w:rPr>
          <w:rStyle w:val="40"/>
        </w:rPr>
        <w:fldChar w:fldCharType="separate"/>
      </w:r>
      <w:r>
        <w:rPr>
          <w:rStyle w:val="40"/>
        </w:rPr>
        <w:t>附 录 A （规范性）</w:t>
      </w:r>
      <w:r>
        <w:tab/>
      </w:r>
      <w:r>
        <w:fldChar w:fldCharType="begin"/>
      </w:r>
      <w:r>
        <w:instrText xml:space="preserve"> PAGEREF _Toc102557407 \h </w:instrText>
      </w:r>
      <w:r>
        <w:fldChar w:fldCharType="separate"/>
      </w:r>
      <w:r>
        <w:t>28</w:t>
      </w:r>
      <w:r>
        <w:fldChar w:fldCharType="end"/>
      </w:r>
      <w:r>
        <w:rPr>
          <w:rStyle w:val="40"/>
        </w:rPr>
        <w:fldChar w:fldCharType="end"/>
      </w:r>
    </w:p>
    <w:p w14:paraId="33D10D39">
      <w:pPr>
        <w:pStyle w:val="25"/>
      </w:pPr>
      <w:r>
        <w:rPr>
          <w:kern w:val="2"/>
          <w:szCs w:val="21"/>
        </w:rPr>
        <w:fldChar w:fldCharType="end"/>
      </w:r>
    </w:p>
    <w:p w14:paraId="75F50A10">
      <w:pPr>
        <w:pStyle w:val="110"/>
      </w:pPr>
      <w:bookmarkStart w:id="6" w:name="_Toc62464349"/>
      <w:bookmarkStart w:id="7" w:name="_Toc102557355"/>
      <w:r>
        <w:rPr>
          <w:rFonts w:hint="eastAsia"/>
        </w:rPr>
        <w:t>前</w:t>
      </w:r>
      <w:bookmarkStart w:id="8" w:name="BKQY"/>
      <w:r>
        <w:t>  </w:t>
      </w:r>
      <w:r>
        <w:rPr>
          <w:rFonts w:hint="eastAsia"/>
        </w:rPr>
        <w:t>言</w:t>
      </w:r>
      <w:bookmarkEnd w:id="3"/>
      <w:bookmarkEnd w:id="6"/>
      <w:bookmarkEnd w:id="7"/>
      <w:bookmarkEnd w:id="8"/>
    </w:p>
    <w:p w14:paraId="548FF728">
      <w:pPr>
        <w:pStyle w:val="25"/>
        <w:rPr>
          <w:color w:val="000000"/>
        </w:rPr>
      </w:pPr>
      <w:r>
        <w:rPr>
          <w:rFonts w:hint="eastAsia"/>
          <w:color w:val="000000"/>
        </w:rPr>
        <w:t>本文件按照</w:t>
      </w:r>
      <w:r>
        <w:rPr>
          <w:color w:val="000000"/>
        </w:rPr>
        <w:t>GB/T1.1</w:t>
      </w:r>
      <w:r>
        <w:rPr>
          <w:rFonts w:hint="eastAsia"/>
          <w:color w:val="000000"/>
        </w:rPr>
        <w:t>—</w:t>
      </w:r>
      <w:r>
        <w:rPr>
          <w:color w:val="000000"/>
        </w:rPr>
        <w:t>2020</w:t>
      </w:r>
      <w:r>
        <w:rPr>
          <w:rFonts w:hint="eastAsia"/>
          <w:color w:val="000000"/>
        </w:rPr>
        <w:t>《标准化工作导则　第</w:t>
      </w:r>
      <w:r>
        <w:rPr>
          <w:color w:val="000000"/>
        </w:rPr>
        <w:t>1</w:t>
      </w:r>
      <w:r>
        <w:rPr>
          <w:rFonts w:hint="eastAsia"/>
          <w:color w:val="000000"/>
        </w:rPr>
        <w:t>部分：标准化文件的结构和起草规则》的规定起草。</w:t>
      </w:r>
    </w:p>
    <w:p w14:paraId="32099060">
      <w:pPr>
        <w:pStyle w:val="25"/>
        <w:rPr>
          <w:color w:val="000000"/>
        </w:rPr>
      </w:pPr>
      <w:r>
        <w:rPr>
          <w:rFonts w:hint="eastAsia"/>
          <w:color w:val="000000"/>
        </w:rPr>
        <w:t>本文件由南方电网物资有限公司提出。</w:t>
      </w:r>
    </w:p>
    <w:p w14:paraId="33F47A5C">
      <w:pPr>
        <w:pStyle w:val="25"/>
        <w:rPr>
          <w:color w:val="000000"/>
        </w:rPr>
      </w:pPr>
      <w:r>
        <w:rPr>
          <w:rFonts w:hint="eastAsia"/>
          <w:color w:val="000000"/>
        </w:rPr>
        <w:t>本文件由广东省电机工程学会归口。</w:t>
      </w:r>
    </w:p>
    <w:p w14:paraId="4506D9D6">
      <w:pPr>
        <w:pStyle w:val="25"/>
        <w:rPr>
          <w:color w:val="000000"/>
        </w:rPr>
      </w:pPr>
      <w:r>
        <w:rPr>
          <w:rFonts w:hint="eastAsia"/>
          <w:color w:val="000000"/>
        </w:rPr>
        <w:t>本文件主要起草单位：南方电网物资有限公司、广东中质检测技术有限公司、广州立信技术服务有限公司等。</w:t>
      </w:r>
    </w:p>
    <w:p w14:paraId="32DFCC59">
      <w:pPr>
        <w:widowControl/>
        <w:tabs>
          <w:tab w:val="center" w:pos="4201"/>
          <w:tab w:val="right" w:leader="dot" w:pos="9298"/>
        </w:tabs>
        <w:ind w:firstLine="420"/>
        <w:jc w:val="left"/>
        <w:rPr>
          <w:rFonts w:hAnsi="宋体" w:cs="宋体"/>
          <w:color w:val="000000"/>
          <w:sz w:val="20"/>
        </w:rPr>
      </w:pPr>
      <w:r>
        <w:rPr>
          <w:rFonts w:hint="eastAsia"/>
          <w:color w:val="000000"/>
        </w:rPr>
        <w:t>本文件主要起草人：</w:t>
      </w:r>
      <w:r>
        <w:rPr>
          <w:rFonts w:hint="eastAsia" w:ascii="宋体" w:hAnsi="宋体" w:cs="宋体"/>
          <w:color w:val="000000"/>
          <w:kern w:val="0"/>
          <w:sz w:val="20"/>
          <w:szCs w:val="20"/>
        </w:rPr>
        <w:t>李通、杨瑞波、杨茂昌、杜明慧、林景锋、毛磊、袁诗雪、胥经纬、郑凯、胡卫锋等</w:t>
      </w:r>
    </w:p>
    <w:p w14:paraId="4EAF317F">
      <w:pPr>
        <w:pStyle w:val="25"/>
        <w:rPr>
          <w:color w:val="000000"/>
        </w:rPr>
      </w:pPr>
      <w:r>
        <w:rPr>
          <w:rFonts w:hint="eastAsia"/>
          <w:color w:val="000000"/>
        </w:rPr>
        <w:t>本文件为首次发布。</w:t>
      </w:r>
    </w:p>
    <w:p w14:paraId="320AB3B3">
      <w:pPr>
        <w:pStyle w:val="25"/>
      </w:pPr>
    </w:p>
    <w:p w14:paraId="7ACD60D6">
      <w:pPr>
        <w:pStyle w:val="25"/>
        <w:ind w:firstLine="0" w:firstLineChars="0"/>
        <w:sectPr>
          <w:headerReference r:id="rId5" w:type="default"/>
          <w:footerReference r:id="rId6" w:type="default"/>
          <w:pgSz w:w="11906" w:h="16838"/>
          <w:pgMar w:top="567" w:right="1134" w:bottom="1134" w:left="1418" w:header="1418" w:footer="1134" w:gutter="0"/>
          <w:pgNumType w:fmt="upperRoman" w:start="1"/>
          <w:cols w:space="425" w:num="1"/>
          <w:formProt w:val="0"/>
          <w:docGrid w:type="lines" w:linePitch="312" w:charSpace="0"/>
        </w:sectPr>
      </w:pPr>
    </w:p>
    <w:p w14:paraId="15409047">
      <w:pPr>
        <w:pStyle w:val="50"/>
        <w:spacing w:before="0" w:after="624" w:afterLines="200"/>
        <w:rPr>
          <w:szCs w:val="32"/>
        </w:rPr>
      </w:pPr>
      <w:r>
        <w:rPr>
          <w:rFonts w:hint="eastAsia"/>
          <w:szCs w:val="32"/>
          <w:lang w:val="en-US" w:eastAsia="zh-CN"/>
        </w:rPr>
        <w:t>配设备</w:t>
      </w:r>
      <w:r>
        <w:rPr>
          <w:rFonts w:hint="eastAsia"/>
          <w:sz w:val="32"/>
          <w:szCs w:val="32"/>
          <w:lang w:eastAsia="zh-CN"/>
        </w:rPr>
        <w:t>网</w:t>
      </w:r>
      <w:r>
        <w:rPr>
          <w:rFonts w:hint="eastAsia"/>
          <w:sz w:val="32"/>
          <w:szCs w:val="32"/>
        </w:rPr>
        <w:t>差异化抽检规</w:t>
      </w:r>
      <w:r>
        <w:rPr>
          <w:rFonts w:hint="eastAsia"/>
          <w:szCs w:val="32"/>
        </w:rPr>
        <w:t>范</w:t>
      </w:r>
    </w:p>
    <w:p w14:paraId="68EBB341">
      <w:pPr>
        <w:pStyle w:val="45"/>
        <w:spacing w:before="312" w:after="312"/>
        <w:ind w:left="0"/>
        <w:outlineLvl w:val="0"/>
      </w:pPr>
      <w:bookmarkStart w:id="9" w:name="_Toc62463858"/>
      <w:bookmarkStart w:id="10" w:name="_Toc102557356"/>
      <w:bookmarkStart w:id="11" w:name="_Toc62464350"/>
      <w:bookmarkStart w:id="12" w:name="_Toc445123722"/>
      <w:r>
        <w:rPr>
          <w:rFonts w:hint="eastAsia"/>
        </w:rPr>
        <w:t>范围</w:t>
      </w:r>
      <w:bookmarkEnd w:id="9"/>
      <w:bookmarkEnd w:id="10"/>
      <w:bookmarkEnd w:id="11"/>
      <w:bookmarkEnd w:id="12"/>
    </w:p>
    <w:p w14:paraId="3548BF0C">
      <w:pPr>
        <w:pStyle w:val="25"/>
      </w:pPr>
      <w:r>
        <w:rPr>
          <w:rFonts w:hint="eastAsia"/>
        </w:rPr>
        <w:t>本文件规定了10kV 交流电力电缆、10kV高压开关柜、10kV油浸式变压器等质量评价及差异化抽检的相关内容和方法，包括术语和定义、配网设备质量数据采集、质量评价、到货抽检、差异化抽检、差异化抽检匹配准则等。</w:t>
      </w:r>
    </w:p>
    <w:p w14:paraId="42D6018E">
      <w:pPr>
        <w:pStyle w:val="25"/>
      </w:pPr>
      <w:r>
        <w:rPr>
          <w:rFonts w:hint="eastAsia"/>
        </w:rPr>
        <w:t>本文件适用于</w:t>
      </w:r>
      <w:bookmarkStart w:id="13" w:name="_Hlk109165320"/>
      <w:r>
        <w:rPr>
          <w:rFonts w:hint="eastAsia"/>
        </w:rPr>
        <w:t>10kV 交流电力电缆、10kV高压开关柜、10kV油浸式变压器等</w:t>
      </w:r>
      <w:bookmarkEnd w:id="13"/>
      <w:r>
        <w:rPr>
          <w:rFonts w:hint="eastAsia"/>
        </w:rPr>
        <w:t>设备的到货抽检。</w:t>
      </w:r>
    </w:p>
    <w:p w14:paraId="27068864">
      <w:pPr>
        <w:pStyle w:val="64"/>
        <w:tabs>
          <w:tab w:val="center" w:pos="4201"/>
          <w:tab w:val="right" w:leader="dot" w:pos="9298"/>
        </w:tabs>
        <w:ind w:hanging="300"/>
      </w:pPr>
      <w:r>
        <w:rPr>
          <w:rFonts w:hint="eastAsia"/>
        </w:rPr>
        <w:t>不属于本文件范围的特殊要求，由用户和制造厂协商解决。</w:t>
      </w:r>
    </w:p>
    <w:p w14:paraId="40AB3C12">
      <w:pPr>
        <w:pStyle w:val="45"/>
        <w:spacing w:before="312" w:after="312"/>
        <w:ind w:left="0"/>
        <w:outlineLvl w:val="0"/>
      </w:pPr>
      <w:bookmarkStart w:id="14" w:name="_Toc62464351"/>
      <w:bookmarkStart w:id="15" w:name="_Toc102557357"/>
      <w:bookmarkStart w:id="16" w:name="_Toc62463859"/>
      <w:bookmarkStart w:id="17" w:name="_Toc445123723"/>
      <w:r>
        <w:rPr>
          <w:rFonts w:hint="eastAsia"/>
        </w:rPr>
        <w:t>规范性引用文件</w:t>
      </w:r>
      <w:bookmarkEnd w:id="14"/>
      <w:bookmarkEnd w:id="15"/>
      <w:bookmarkEnd w:id="16"/>
      <w:bookmarkEnd w:id="17"/>
      <w:bookmarkStart w:id="106" w:name="_GoBack"/>
      <w:bookmarkEnd w:id="106"/>
    </w:p>
    <w:p w14:paraId="042C4CEB">
      <w:pPr>
        <w:pStyle w:val="25"/>
        <w:rPr>
          <w:color w:val="000000"/>
        </w:rPr>
      </w:pPr>
      <w:r>
        <w:rPr>
          <w:rFonts w:hint="eastAsia"/>
          <w:color w:val="000000"/>
        </w:rPr>
        <w:t>下列文件对于本文件的应用是必不可少的。凡是注日期的引用文件，仅注日期的版本适用于本文件。凡是不注日期的引用文件，其最新版本（包括所有的修改单）适用于本文件。</w:t>
      </w:r>
    </w:p>
    <w:tbl>
      <w:tblPr>
        <w:tblStyle w:val="34"/>
        <w:tblW w:w="8930" w:type="dxa"/>
        <w:tblInd w:w="392" w:type="dxa"/>
        <w:tblLayout w:type="fixed"/>
        <w:tblCellMar>
          <w:top w:w="0" w:type="dxa"/>
          <w:left w:w="108" w:type="dxa"/>
          <w:bottom w:w="0" w:type="dxa"/>
          <w:right w:w="108" w:type="dxa"/>
        </w:tblCellMar>
      </w:tblPr>
      <w:tblGrid>
        <w:gridCol w:w="1843"/>
        <w:gridCol w:w="7087"/>
      </w:tblGrid>
      <w:tr w14:paraId="7B6DCE78">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328F86B3">
            <w:pPr>
              <w:widowControl/>
              <w:rPr>
                <w:rFonts w:ascii="宋体"/>
                <w:kern w:val="0"/>
                <w:sz w:val="18"/>
                <w:szCs w:val="18"/>
              </w:rPr>
            </w:pPr>
            <w:r>
              <w:rPr>
                <w:rFonts w:hint="eastAsia" w:ascii="宋体"/>
                <w:kern w:val="0"/>
                <w:sz w:val="18"/>
                <w:szCs w:val="18"/>
              </w:rPr>
              <w:t>GB</w:t>
            </w:r>
            <w:r>
              <w:rPr>
                <w:rFonts w:ascii="宋体"/>
                <w:kern w:val="0"/>
                <w:sz w:val="18"/>
                <w:szCs w:val="18"/>
              </w:rPr>
              <w:t>/</w:t>
            </w:r>
            <w:r>
              <w:rPr>
                <w:rFonts w:hint="eastAsia" w:ascii="宋体"/>
                <w:kern w:val="0"/>
                <w:sz w:val="18"/>
                <w:szCs w:val="18"/>
              </w:rPr>
              <w:t>T1.1-2020</w:t>
            </w:r>
          </w:p>
        </w:tc>
        <w:tc>
          <w:tcPr>
            <w:tcW w:w="7087" w:type="dxa"/>
            <w:tcBorders>
              <w:top w:val="nil"/>
              <w:left w:val="nil"/>
              <w:bottom w:val="nil"/>
              <w:right w:val="nil"/>
            </w:tcBorders>
            <w:shd w:val="clear" w:color="auto" w:fill="auto"/>
          </w:tcPr>
          <w:p w14:paraId="472F44C3">
            <w:pPr>
              <w:widowControl/>
              <w:rPr>
                <w:rFonts w:ascii="宋体"/>
                <w:kern w:val="0"/>
                <w:sz w:val="18"/>
                <w:szCs w:val="18"/>
              </w:rPr>
            </w:pPr>
            <w:r>
              <w:rPr>
                <w:rFonts w:hint="eastAsia" w:ascii="宋体"/>
                <w:kern w:val="0"/>
                <w:sz w:val="18"/>
                <w:szCs w:val="18"/>
              </w:rPr>
              <w:t>《标准化工作导则 第1部分：标准化文件的结构和起草规则》</w:t>
            </w:r>
          </w:p>
        </w:tc>
      </w:tr>
      <w:tr w14:paraId="2115A4A1">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16C411B2">
            <w:pPr>
              <w:widowControl/>
              <w:rPr>
                <w:rFonts w:ascii="宋体"/>
                <w:kern w:val="0"/>
                <w:sz w:val="18"/>
                <w:szCs w:val="18"/>
              </w:rPr>
            </w:pPr>
            <w:r>
              <w:rPr>
                <w:rFonts w:ascii="宋体"/>
                <w:kern w:val="0"/>
                <w:sz w:val="18"/>
                <w:szCs w:val="18"/>
              </w:rPr>
              <w:t xml:space="preserve">DL/T 403-2017 </w:t>
            </w:r>
          </w:p>
        </w:tc>
        <w:tc>
          <w:tcPr>
            <w:tcW w:w="7087" w:type="dxa"/>
            <w:tcBorders>
              <w:top w:val="nil"/>
              <w:left w:val="nil"/>
              <w:bottom w:val="nil"/>
              <w:right w:val="nil"/>
            </w:tcBorders>
            <w:shd w:val="clear" w:color="auto" w:fill="auto"/>
          </w:tcPr>
          <w:p w14:paraId="7AE79395">
            <w:pPr>
              <w:widowControl/>
              <w:rPr>
                <w:rFonts w:ascii="宋体"/>
                <w:kern w:val="0"/>
                <w:sz w:val="18"/>
                <w:szCs w:val="18"/>
              </w:rPr>
            </w:pPr>
            <w:r>
              <w:rPr>
                <w:rFonts w:hint="eastAsia" w:ascii="宋体"/>
                <w:kern w:val="0"/>
                <w:sz w:val="18"/>
                <w:szCs w:val="18"/>
              </w:rPr>
              <w:t>高压真空断路器</w:t>
            </w:r>
          </w:p>
        </w:tc>
      </w:tr>
      <w:tr w14:paraId="414A3CA3">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26CA9163">
            <w:pPr>
              <w:widowControl/>
              <w:rPr>
                <w:rFonts w:ascii="宋体"/>
                <w:kern w:val="0"/>
                <w:sz w:val="18"/>
                <w:szCs w:val="18"/>
              </w:rPr>
            </w:pPr>
            <w:r>
              <w:rPr>
                <w:rFonts w:ascii="宋体"/>
                <w:kern w:val="0"/>
                <w:sz w:val="18"/>
                <w:szCs w:val="18"/>
              </w:rPr>
              <w:t>DL/T 404-2018</w:t>
            </w:r>
          </w:p>
        </w:tc>
        <w:tc>
          <w:tcPr>
            <w:tcW w:w="7087" w:type="dxa"/>
            <w:tcBorders>
              <w:top w:val="nil"/>
              <w:left w:val="nil"/>
              <w:bottom w:val="nil"/>
              <w:right w:val="nil"/>
            </w:tcBorders>
            <w:shd w:val="clear" w:color="auto" w:fill="auto"/>
          </w:tcPr>
          <w:p w14:paraId="44385CBB">
            <w:pPr>
              <w:widowControl/>
              <w:rPr>
                <w:rFonts w:ascii="宋体"/>
                <w:kern w:val="0"/>
                <w:sz w:val="18"/>
                <w:szCs w:val="18"/>
              </w:rPr>
            </w:pPr>
            <w:r>
              <w:rPr>
                <w:rFonts w:ascii="宋体"/>
                <w:kern w:val="0"/>
                <w:sz w:val="18"/>
                <w:szCs w:val="18"/>
              </w:rPr>
              <w:t>3.6KV～40.5</w:t>
            </w:r>
            <w:r>
              <w:rPr>
                <w:rFonts w:hint="eastAsia" w:ascii="宋体"/>
                <w:kern w:val="0"/>
                <w:sz w:val="18"/>
                <w:szCs w:val="18"/>
              </w:rPr>
              <w:t>k</w:t>
            </w:r>
            <w:r>
              <w:rPr>
                <w:rFonts w:ascii="宋体"/>
                <w:kern w:val="0"/>
                <w:sz w:val="18"/>
                <w:szCs w:val="18"/>
              </w:rPr>
              <w:t>V交流金属封闭开关设备和控制设备</w:t>
            </w:r>
          </w:p>
        </w:tc>
      </w:tr>
      <w:tr w14:paraId="590E8E0A">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1A87D6E9">
            <w:pPr>
              <w:widowControl/>
              <w:rPr>
                <w:rFonts w:ascii="宋体"/>
                <w:kern w:val="0"/>
                <w:sz w:val="18"/>
                <w:szCs w:val="18"/>
              </w:rPr>
            </w:pPr>
            <w:r>
              <w:rPr>
                <w:rFonts w:ascii="宋体"/>
                <w:kern w:val="0"/>
                <w:sz w:val="18"/>
                <w:szCs w:val="18"/>
              </w:rPr>
              <w:t xml:space="preserve">GB/T 507-2002        </w:t>
            </w:r>
          </w:p>
        </w:tc>
        <w:tc>
          <w:tcPr>
            <w:tcW w:w="7087" w:type="dxa"/>
            <w:tcBorders>
              <w:top w:val="nil"/>
              <w:left w:val="nil"/>
              <w:bottom w:val="nil"/>
              <w:right w:val="nil"/>
            </w:tcBorders>
            <w:shd w:val="clear" w:color="auto" w:fill="auto"/>
          </w:tcPr>
          <w:p w14:paraId="684C7AC4">
            <w:pPr>
              <w:widowControl/>
              <w:rPr>
                <w:rFonts w:ascii="宋体"/>
                <w:kern w:val="0"/>
                <w:sz w:val="18"/>
                <w:szCs w:val="18"/>
              </w:rPr>
            </w:pPr>
            <w:r>
              <w:rPr>
                <w:rFonts w:hint="eastAsia" w:ascii="宋体"/>
                <w:kern w:val="0"/>
                <w:sz w:val="18"/>
                <w:szCs w:val="18"/>
              </w:rPr>
              <w:t>绝缘油击穿电压测定法</w:t>
            </w:r>
          </w:p>
        </w:tc>
      </w:tr>
      <w:tr w14:paraId="4EBBEC37">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293286C2">
            <w:pPr>
              <w:widowControl/>
              <w:rPr>
                <w:rFonts w:ascii="宋体"/>
                <w:kern w:val="0"/>
                <w:sz w:val="18"/>
                <w:szCs w:val="18"/>
              </w:rPr>
            </w:pPr>
            <w:r>
              <w:rPr>
                <w:rFonts w:hint="eastAsia" w:ascii="宋体"/>
                <w:kern w:val="0"/>
                <w:sz w:val="18"/>
                <w:szCs w:val="18"/>
              </w:rPr>
              <w:t>DL T 593-2016</w:t>
            </w:r>
            <w:r>
              <w:rPr>
                <w:rFonts w:ascii="宋体"/>
                <w:kern w:val="0"/>
                <w:sz w:val="18"/>
                <w:szCs w:val="18"/>
              </w:rPr>
              <w:t xml:space="preserve"> </w:t>
            </w:r>
          </w:p>
        </w:tc>
        <w:tc>
          <w:tcPr>
            <w:tcW w:w="7087" w:type="dxa"/>
            <w:tcBorders>
              <w:top w:val="nil"/>
              <w:left w:val="nil"/>
              <w:bottom w:val="nil"/>
              <w:right w:val="nil"/>
            </w:tcBorders>
            <w:shd w:val="clear" w:color="auto" w:fill="auto"/>
          </w:tcPr>
          <w:p w14:paraId="126884D0">
            <w:pPr>
              <w:widowControl/>
              <w:rPr>
                <w:rFonts w:ascii="宋体"/>
                <w:kern w:val="0"/>
                <w:sz w:val="18"/>
                <w:szCs w:val="18"/>
              </w:rPr>
            </w:pPr>
            <w:r>
              <w:rPr>
                <w:rFonts w:hint="eastAsia" w:ascii="宋体"/>
                <w:kern w:val="0"/>
                <w:sz w:val="18"/>
                <w:szCs w:val="18"/>
              </w:rPr>
              <w:t>高压开关设备和控制设备标准的共用技术要求</w:t>
            </w:r>
          </w:p>
        </w:tc>
      </w:tr>
      <w:tr w14:paraId="121412EE">
        <w:tblPrEx>
          <w:tblCellMar>
            <w:top w:w="0" w:type="dxa"/>
            <w:left w:w="108" w:type="dxa"/>
            <w:bottom w:w="0" w:type="dxa"/>
            <w:right w:w="108" w:type="dxa"/>
          </w:tblCellMar>
        </w:tblPrEx>
        <w:trPr>
          <w:trHeight w:val="105" w:hRule="atLeast"/>
        </w:trPr>
        <w:tc>
          <w:tcPr>
            <w:tcW w:w="1843" w:type="dxa"/>
            <w:tcBorders>
              <w:top w:val="nil"/>
              <w:left w:val="nil"/>
              <w:bottom w:val="nil"/>
              <w:right w:val="nil"/>
            </w:tcBorders>
            <w:shd w:val="clear" w:color="auto" w:fill="auto"/>
          </w:tcPr>
          <w:p w14:paraId="1E6BF17F">
            <w:pPr>
              <w:widowControl/>
              <w:rPr>
                <w:rFonts w:ascii="宋体"/>
                <w:kern w:val="0"/>
                <w:sz w:val="18"/>
                <w:szCs w:val="18"/>
              </w:rPr>
            </w:pPr>
            <w:r>
              <w:rPr>
                <w:rFonts w:ascii="宋体"/>
                <w:kern w:val="0"/>
                <w:sz w:val="18"/>
                <w:szCs w:val="18"/>
              </w:rPr>
              <w:t>GB</w:t>
            </w:r>
            <w:r>
              <w:rPr>
                <w:rFonts w:hint="eastAsia" w:ascii="宋体"/>
                <w:kern w:val="0"/>
                <w:sz w:val="18"/>
                <w:szCs w:val="18"/>
              </w:rPr>
              <w:t>/T</w:t>
            </w:r>
            <w:r>
              <w:rPr>
                <w:rFonts w:ascii="宋体"/>
                <w:kern w:val="0"/>
                <w:sz w:val="18"/>
                <w:szCs w:val="18"/>
              </w:rPr>
              <w:t xml:space="preserve"> 1094.1-2013        </w:t>
            </w:r>
          </w:p>
        </w:tc>
        <w:tc>
          <w:tcPr>
            <w:tcW w:w="7087" w:type="dxa"/>
            <w:tcBorders>
              <w:top w:val="nil"/>
              <w:left w:val="nil"/>
              <w:bottom w:val="nil"/>
              <w:right w:val="nil"/>
            </w:tcBorders>
            <w:shd w:val="clear" w:color="auto" w:fill="auto"/>
          </w:tcPr>
          <w:p w14:paraId="2E1C6323">
            <w:pPr>
              <w:widowControl/>
              <w:rPr>
                <w:rFonts w:ascii="宋体"/>
                <w:kern w:val="0"/>
                <w:sz w:val="18"/>
                <w:szCs w:val="18"/>
              </w:rPr>
            </w:pPr>
            <w:r>
              <w:rPr>
                <w:rFonts w:hint="eastAsia" w:ascii="宋体"/>
                <w:kern w:val="0"/>
                <w:sz w:val="18"/>
                <w:szCs w:val="18"/>
              </w:rPr>
              <w:t>电力变压器第</w:t>
            </w:r>
            <w:r>
              <w:rPr>
                <w:rFonts w:ascii="宋体"/>
                <w:kern w:val="0"/>
                <w:sz w:val="18"/>
                <w:szCs w:val="18"/>
              </w:rPr>
              <w:t>1</w:t>
            </w:r>
            <w:r>
              <w:rPr>
                <w:rFonts w:hint="eastAsia" w:ascii="宋体"/>
                <w:kern w:val="0"/>
                <w:sz w:val="18"/>
                <w:szCs w:val="18"/>
              </w:rPr>
              <w:t>部分总则</w:t>
            </w:r>
          </w:p>
        </w:tc>
      </w:tr>
      <w:tr w14:paraId="6B2C927F">
        <w:tblPrEx>
          <w:tblCellMar>
            <w:top w:w="0" w:type="dxa"/>
            <w:left w:w="108" w:type="dxa"/>
            <w:bottom w:w="0" w:type="dxa"/>
            <w:right w:w="108" w:type="dxa"/>
          </w:tblCellMar>
        </w:tblPrEx>
        <w:trPr>
          <w:trHeight w:val="95" w:hRule="atLeast"/>
        </w:trPr>
        <w:tc>
          <w:tcPr>
            <w:tcW w:w="1843" w:type="dxa"/>
            <w:tcBorders>
              <w:top w:val="nil"/>
              <w:left w:val="nil"/>
              <w:bottom w:val="nil"/>
              <w:right w:val="nil"/>
            </w:tcBorders>
            <w:shd w:val="clear" w:color="auto" w:fill="auto"/>
          </w:tcPr>
          <w:p w14:paraId="2726E671">
            <w:pPr>
              <w:widowControl/>
              <w:rPr>
                <w:rFonts w:ascii="宋体"/>
                <w:kern w:val="0"/>
                <w:sz w:val="18"/>
                <w:szCs w:val="18"/>
              </w:rPr>
            </w:pPr>
            <w:r>
              <w:rPr>
                <w:rFonts w:ascii="宋体"/>
                <w:kern w:val="0"/>
                <w:sz w:val="18"/>
                <w:szCs w:val="18"/>
              </w:rPr>
              <w:t>GB</w:t>
            </w:r>
            <w:r>
              <w:rPr>
                <w:rFonts w:hint="eastAsia" w:ascii="宋体"/>
                <w:kern w:val="0"/>
                <w:sz w:val="18"/>
                <w:szCs w:val="18"/>
              </w:rPr>
              <w:t>/T</w:t>
            </w:r>
            <w:r>
              <w:rPr>
                <w:rFonts w:ascii="宋体"/>
                <w:kern w:val="0"/>
                <w:sz w:val="18"/>
                <w:szCs w:val="18"/>
              </w:rPr>
              <w:t xml:space="preserve"> 1094.</w:t>
            </w:r>
            <w:r>
              <w:rPr>
                <w:rFonts w:hint="eastAsia" w:ascii="宋体"/>
                <w:kern w:val="0"/>
                <w:sz w:val="18"/>
                <w:szCs w:val="18"/>
              </w:rPr>
              <w:t>2</w:t>
            </w:r>
            <w:r>
              <w:rPr>
                <w:rFonts w:ascii="宋体"/>
                <w:kern w:val="0"/>
                <w:sz w:val="18"/>
                <w:szCs w:val="18"/>
              </w:rPr>
              <w:t xml:space="preserve">-2013      </w:t>
            </w:r>
          </w:p>
        </w:tc>
        <w:tc>
          <w:tcPr>
            <w:tcW w:w="7087" w:type="dxa"/>
            <w:tcBorders>
              <w:top w:val="nil"/>
              <w:left w:val="nil"/>
              <w:bottom w:val="nil"/>
              <w:right w:val="nil"/>
            </w:tcBorders>
            <w:shd w:val="clear" w:color="auto" w:fill="auto"/>
          </w:tcPr>
          <w:p w14:paraId="1A633673">
            <w:pPr>
              <w:widowControl/>
              <w:rPr>
                <w:rFonts w:ascii="宋体"/>
                <w:kern w:val="0"/>
                <w:sz w:val="18"/>
                <w:szCs w:val="18"/>
              </w:rPr>
            </w:pPr>
            <w:r>
              <w:rPr>
                <w:rFonts w:hint="eastAsia" w:ascii="宋体"/>
                <w:kern w:val="0"/>
                <w:sz w:val="18"/>
                <w:szCs w:val="18"/>
              </w:rPr>
              <w:t>电力变压器第</w:t>
            </w:r>
            <w:r>
              <w:rPr>
                <w:rFonts w:ascii="宋体"/>
                <w:kern w:val="0"/>
                <w:sz w:val="18"/>
                <w:szCs w:val="18"/>
              </w:rPr>
              <w:t>2</w:t>
            </w:r>
            <w:r>
              <w:rPr>
                <w:rFonts w:hint="eastAsia" w:ascii="宋体"/>
                <w:kern w:val="0"/>
                <w:sz w:val="18"/>
                <w:szCs w:val="18"/>
              </w:rPr>
              <w:t>部分：液浸式变压器的温升</w:t>
            </w:r>
          </w:p>
        </w:tc>
      </w:tr>
      <w:tr w14:paraId="1BD7B411">
        <w:tblPrEx>
          <w:tblCellMar>
            <w:top w:w="0" w:type="dxa"/>
            <w:left w:w="108" w:type="dxa"/>
            <w:bottom w:w="0" w:type="dxa"/>
            <w:right w:w="108" w:type="dxa"/>
          </w:tblCellMar>
        </w:tblPrEx>
        <w:trPr>
          <w:trHeight w:val="61" w:hRule="atLeast"/>
        </w:trPr>
        <w:tc>
          <w:tcPr>
            <w:tcW w:w="1843" w:type="dxa"/>
            <w:tcBorders>
              <w:top w:val="nil"/>
              <w:left w:val="nil"/>
              <w:bottom w:val="nil"/>
              <w:right w:val="nil"/>
            </w:tcBorders>
            <w:shd w:val="clear" w:color="auto" w:fill="auto"/>
          </w:tcPr>
          <w:p w14:paraId="27FCFF3C">
            <w:pPr>
              <w:widowControl/>
              <w:rPr>
                <w:rFonts w:ascii="宋体"/>
                <w:kern w:val="0"/>
                <w:sz w:val="18"/>
                <w:szCs w:val="18"/>
              </w:rPr>
            </w:pPr>
            <w:r>
              <w:rPr>
                <w:rFonts w:ascii="宋体"/>
                <w:kern w:val="0"/>
                <w:sz w:val="18"/>
                <w:szCs w:val="18"/>
              </w:rPr>
              <w:t>GB</w:t>
            </w:r>
            <w:r>
              <w:rPr>
                <w:rFonts w:hint="eastAsia" w:ascii="宋体"/>
                <w:kern w:val="0"/>
                <w:sz w:val="18"/>
                <w:szCs w:val="18"/>
              </w:rPr>
              <w:t>/T</w:t>
            </w:r>
            <w:r>
              <w:rPr>
                <w:rFonts w:ascii="宋体"/>
                <w:kern w:val="0"/>
                <w:sz w:val="18"/>
                <w:szCs w:val="18"/>
              </w:rPr>
              <w:t xml:space="preserve"> 1094.3-20</w:t>
            </w:r>
            <w:r>
              <w:rPr>
                <w:rFonts w:hint="eastAsia" w:ascii="宋体"/>
                <w:kern w:val="0"/>
                <w:sz w:val="18"/>
                <w:szCs w:val="18"/>
              </w:rPr>
              <w:t>17</w:t>
            </w:r>
          </w:p>
        </w:tc>
        <w:tc>
          <w:tcPr>
            <w:tcW w:w="7087" w:type="dxa"/>
            <w:tcBorders>
              <w:top w:val="nil"/>
              <w:left w:val="nil"/>
              <w:bottom w:val="nil"/>
              <w:right w:val="nil"/>
            </w:tcBorders>
            <w:shd w:val="clear" w:color="auto" w:fill="auto"/>
          </w:tcPr>
          <w:p w14:paraId="2FD86642">
            <w:pPr>
              <w:widowControl/>
              <w:rPr>
                <w:rFonts w:ascii="宋体"/>
                <w:kern w:val="0"/>
                <w:sz w:val="18"/>
                <w:szCs w:val="18"/>
              </w:rPr>
            </w:pPr>
            <w:r>
              <w:rPr>
                <w:rFonts w:hint="eastAsia" w:ascii="宋体"/>
                <w:kern w:val="0"/>
                <w:sz w:val="18"/>
                <w:szCs w:val="18"/>
              </w:rPr>
              <w:t>电力变压器第</w:t>
            </w:r>
            <w:r>
              <w:rPr>
                <w:rFonts w:ascii="宋体"/>
                <w:kern w:val="0"/>
                <w:sz w:val="18"/>
                <w:szCs w:val="18"/>
              </w:rPr>
              <w:t>3</w:t>
            </w:r>
            <w:r>
              <w:rPr>
                <w:rFonts w:hint="eastAsia" w:ascii="宋体"/>
                <w:kern w:val="0"/>
                <w:sz w:val="18"/>
                <w:szCs w:val="18"/>
              </w:rPr>
              <w:t>部分绝缘水平、绝缘试验和外绝缘空气间隙</w:t>
            </w:r>
          </w:p>
        </w:tc>
      </w:tr>
      <w:tr w14:paraId="2C632E68">
        <w:tblPrEx>
          <w:tblCellMar>
            <w:top w:w="0" w:type="dxa"/>
            <w:left w:w="108" w:type="dxa"/>
            <w:bottom w:w="0" w:type="dxa"/>
            <w:right w:w="108" w:type="dxa"/>
          </w:tblCellMar>
        </w:tblPrEx>
        <w:trPr>
          <w:trHeight w:val="175" w:hRule="atLeast"/>
        </w:trPr>
        <w:tc>
          <w:tcPr>
            <w:tcW w:w="1843" w:type="dxa"/>
            <w:tcBorders>
              <w:top w:val="nil"/>
              <w:left w:val="nil"/>
              <w:bottom w:val="nil"/>
              <w:right w:val="nil"/>
            </w:tcBorders>
            <w:shd w:val="clear" w:color="auto" w:fill="auto"/>
          </w:tcPr>
          <w:p w14:paraId="3D23AB98">
            <w:pPr>
              <w:widowControl/>
              <w:rPr>
                <w:rFonts w:ascii="宋体"/>
                <w:kern w:val="0"/>
                <w:sz w:val="18"/>
                <w:szCs w:val="18"/>
              </w:rPr>
            </w:pPr>
            <w:r>
              <w:rPr>
                <w:rFonts w:ascii="宋体"/>
                <w:kern w:val="0"/>
                <w:sz w:val="18"/>
                <w:szCs w:val="18"/>
              </w:rPr>
              <w:t xml:space="preserve">GB/T 1094.4-2005    </w:t>
            </w:r>
          </w:p>
        </w:tc>
        <w:tc>
          <w:tcPr>
            <w:tcW w:w="7087" w:type="dxa"/>
            <w:tcBorders>
              <w:top w:val="nil"/>
              <w:left w:val="nil"/>
              <w:bottom w:val="nil"/>
              <w:right w:val="nil"/>
            </w:tcBorders>
            <w:shd w:val="clear" w:color="auto" w:fill="auto"/>
          </w:tcPr>
          <w:p w14:paraId="1C7AC1A2">
            <w:pPr>
              <w:widowControl/>
              <w:rPr>
                <w:rFonts w:ascii="宋体"/>
                <w:kern w:val="0"/>
                <w:sz w:val="18"/>
                <w:szCs w:val="18"/>
              </w:rPr>
            </w:pPr>
            <w:r>
              <w:rPr>
                <w:rFonts w:hint="eastAsia" w:ascii="宋体"/>
                <w:kern w:val="0"/>
                <w:sz w:val="18"/>
                <w:szCs w:val="18"/>
              </w:rPr>
              <w:t>电力变压器第</w:t>
            </w:r>
            <w:r>
              <w:rPr>
                <w:rFonts w:ascii="宋体"/>
                <w:kern w:val="0"/>
                <w:sz w:val="18"/>
                <w:szCs w:val="18"/>
              </w:rPr>
              <w:t>4</w:t>
            </w:r>
            <w:r>
              <w:rPr>
                <w:rFonts w:hint="eastAsia" w:ascii="宋体"/>
                <w:kern w:val="0"/>
                <w:sz w:val="18"/>
                <w:szCs w:val="18"/>
              </w:rPr>
              <w:t>部分电力变压器和电抗器的雷电冲击和操作冲击试验导则</w:t>
            </w:r>
          </w:p>
        </w:tc>
      </w:tr>
      <w:tr w14:paraId="4062CEC5">
        <w:tblPrEx>
          <w:tblCellMar>
            <w:top w:w="0" w:type="dxa"/>
            <w:left w:w="108" w:type="dxa"/>
            <w:bottom w:w="0" w:type="dxa"/>
            <w:right w:w="108" w:type="dxa"/>
          </w:tblCellMar>
        </w:tblPrEx>
        <w:trPr>
          <w:trHeight w:val="137" w:hRule="atLeast"/>
        </w:trPr>
        <w:tc>
          <w:tcPr>
            <w:tcW w:w="1843" w:type="dxa"/>
            <w:tcBorders>
              <w:top w:val="nil"/>
              <w:left w:val="nil"/>
              <w:bottom w:val="nil"/>
              <w:right w:val="nil"/>
            </w:tcBorders>
            <w:shd w:val="clear" w:color="auto" w:fill="auto"/>
          </w:tcPr>
          <w:p w14:paraId="73F81B5A">
            <w:pPr>
              <w:widowControl/>
              <w:rPr>
                <w:rFonts w:ascii="宋体"/>
                <w:kern w:val="0"/>
                <w:sz w:val="18"/>
                <w:szCs w:val="18"/>
              </w:rPr>
            </w:pPr>
            <w:r>
              <w:rPr>
                <w:rFonts w:ascii="宋体"/>
                <w:kern w:val="0"/>
                <w:sz w:val="18"/>
                <w:szCs w:val="18"/>
              </w:rPr>
              <w:t xml:space="preserve">GB/T 1094.10-2003  </w:t>
            </w:r>
          </w:p>
        </w:tc>
        <w:tc>
          <w:tcPr>
            <w:tcW w:w="7087" w:type="dxa"/>
            <w:tcBorders>
              <w:top w:val="nil"/>
              <w:left w:val="nil"/>
              <w:bottom w:val="nil"/>
              <w:right w:val="nil"/>
            </w:tcBorders>
            <w:shd w:val="clear" w:color="auto" w:fill="auto"/>
          </w:tcPr>
          <w:p w14:paraId="103E4828">
            <w:pPr>
              <w:widowControl/>
              <w:rPr>
                <w:rFonts w:ascii="宋体"/>
                <w:kern w:val="0"/>
                <w:sz w:val="18"/>
                <w:szCs w:val="18"/>
              </w:rPr>
            </w:pPr>
            <w:r>
              <w:rPr>
                <w:rFonts w:hint="eastAsia" w:ascii="宋体"/>
                <w:kern w:val="0"/>
                <w:sz w:val="18"/>
                <w:szCs w:val="18"/>
              </w:rPr>
              <w:t>电力变压器第</w:t>
            </w:r>
            <w:r>
              <w:rPr>
                <w:rFonts w:ascii="宋体"/>
                <w:kern w:val="0"/>
                <w:sz w:val="18"/>
                <w:szCs w:val="18"/>
              </w:rPr>
              <w:t>10</w:t>
            </w:r>
            <w:r>
              <w:rPr>
                <w:rFonts w:hint="eastAsia" w:ascii="宋体"/>
                <w:kern w:val="0"/>
                <w:sz w:val="18"/>
                <w:szCs w:val="18"/>
              </w:rPr>
              <w:t>部分声级测定</w:t>
            </w:r>
          </w:p>
        </w:tc>
      </w:tr>
      <w:tr w14:paraId="63ED439D">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7B9DD04F">
            <w:pPr>
              <w:widowControl/>
              <w:rPr>
                <w:rFonts w:ascii="宋体"/>
                <w:kern w:val="0"/>
                <w:sz w:val="18"/>
                <w:szCs w:val="18"/>
              </w:rPr>
            </w:pPr>
            <w:r>
              <w:rPr>
                <w:rFonts w:ascii="宋体"/>
                <w:kern w:val="0"/>
                <w:sz w:val="18"/>
                <w:szCs w:val="18"/>
              </w:rPr>
              <w:t xml:space="preserve">GB/T 3956-2008 </w:t>
            </w:r>
          </w:p>
        </w:tc>
        <w:tc>
          <w:tcPr>
            <w:tcW w:w="7087" w:type="dxa"/>
            <w:tcBorders>
              <w:top w:val="nil"/>
              <w:left w:val="nil"/>
              <w:bottom w:val="nil"/>
              <w:right w:val="nil"/>
            </w:tcBorders>
            <w:shd w:val="clear" w:color="auto" w:fill="auto"/>
          </w:tcPr>
          <w:p w14:paraId="704D6374">
            <w:pPr>
              <w:widowControl/>
              <w:rPr>
                <w:rFonts w:ascii="宋体"/>
                <w:kern w:val="0"/>
                <w:sz w:val="18"/>
                <w:szCs w:val="18"/>
              </w:rPr>
            </w:pPr>
            <w:r>
              <w:rPr>
                <w:rFonts w:ascii="宋体"/>
                <w:kern w:val="0"/>
                <w:sz w:val="18"/>
                <w:szCs w:val="18"/>
              </w:rPr>
              <w:t>电缆的导体</w:t>
            </w:r>
          </w:p>
        </w:tc>
      </w:tr>
      <w:tr w14:paraId="2CF84969">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2047BC39">
            <w:pPr>
              <w:widowControl/>
              <w:rPr>
                <w:rFonts w:ascii="宋体"/>
                <w:kern w:val="0"/>
                <w:sz w:val="18"/>
                <w:szCs w:val="18"/>
              </w:rPr>
            </w:pPr>
            <w:r>
              <w:rPr>
                <w:rFonts w:ascii="宋体"/>
                <w:kern w:val="0"/>
                <w:sz w:val="18"/>
                <w:szCs w:val="18"/>
              </w:rPr>
              <w:t xml:space="preserve">GB/T 3906-2020  </w:t>
            </w:r>
          </w:p>
        </w:tc>
        <w:tc>
          <w:tcPr>
            <w:tcW w:w="7087" w:type="dxa"/>
            <w:tcBorders>
              <w:top w:val="nil"/>
              <w:left w:val="nil"/>
              <w:bottom w:val="nil"/>
              <w:right w:val="nil"/>
            </w:tcBorders>
            <w:shd w:val="clear" w:color="auto" w:fill="auto"/>
          </w:tcPr>
          <w:p w14:paraId="7B0C968B">
            <w:pPr>
              <w:widowControl/>
              <w:rPr>
                <w:rFonts w:ascii="宋体"/>
                <w:kern w:val="0"/>
                <w:sz w:val="18"/>
                <w:szCs w:val="18"/>
              </w:rPr>
            </w:pPr>
            <w:r>
              <w:rPr>
                <w:rFonts w:ascii="宋体"/>
                <w:kern w:val="0"/>
                <w:sz w:val="18"/>
                <w:szCs w:val="18"/>
              </w:rPr>
              <w:t>3.6kV～40.5kV交流金属封闭开关设备和控制设备</w:t>
            </w:r>
          </w:p>
        </w:tc>
      </w:tr>
      <w:tr w14:paraId="1A7B41D9">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4C24FECF">
            <w:pPr>
              <w:widowControl/>
              <w:rPr>
                <w:rFonts w:ascii="宋体"/>
                <w:kern w:val="0"/>
                <w:sz w:val="18"/>
                <w:szCs w:val="18"/>
              </w:rPr>
            </w:pPr>
            <w:r>
              <w:rPr>
                <w:rFonts w:ascii="宋体"/>
                <w:kern w:val="0"/>
                <w:sz w:val="18"/>
                <w:szCs w:val="18"/>
              </w:rPr>
              <w:t>GB</w:t>
            </w:r>
            <w:r>
              <w:rPr>
                <w:rFonts w:hint="eastAsia" w:ascii="宋体"/>
                <w:kern w:val="0"/>
                <w:sz w:val="18"/>
                <w:szCs w:val="18"/>
              </w:rPr>
              <w:t>/T</w:t>
            </w:r>
            <w:r>
              <w:rPr>
                <w:rFonts w:ascii="宋体"/>
                <w:kern w:val="0"/>
                <w:sz w:val="18"/>
                <w:szCs w:val="18"/>
              </w:rPr>
              <w:t xml:space="preserve"> 4208-20</w:t>
            </w:r>
            <w:r>
              <w:rPr>
                <w:rFonts w:hint="eastAsia" w:ascii="宋体"/>
                <w:kern w:val="0"/>
                <w:sz w:val="18"/>
                <w:szCs w:val="18"/>
              </w:rPr>
              <w:t>17</w:t>
            </w:r>
          </w:p>
        </w:tc>
        <w:tc>
          <w:tcPr>
            <w:tcW w:w="7087" w:type="dxa"/>
            <w:tcBorders>
              <w:top w:val="nil"/>
              <w:left w:val="nil"/>
              <w:bottom w:val="nil"/>
              <w:right w:val="nil"/>
            </w:tcBorders>
            <w:shd w:val="clear" w:color="auto" w:fill="auto"/>
          </w:tcPr>
          <w:p w14:paraId="425037D8">
            <w:pPr>
              <w:widowControl/>
              <w:rPr>
                <w:rFonts w:ascii="宋体"/>
                <w:kern w:val="0"/>
                <w:sz w:val="18"/>
                <w:szCs w:val="18"/>
              </w:rPr>
            </w:pPr>
            <w:r>
              <w:rPr>
                <w:rFonts w:ascii="宋体"/>
                <w:kern w:val="0"/>
                <w:sz w:val="18"/>
                <w:szCs w:val="18"/>
              </w:rPr>
              <w:t>外壳防护等级（IP代码）</w:t>
            </w:r>
          </w:p>
        </w:tc>
      </w:tr>
      <w:tr w14:paraId="189CBB7C">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0599D649">
            <w:pPr>
              <w:widowControl/>
              <w:rPr>
                <w:rFonts w:ascii="宋体"/>
                <w:kern w:val="0"/>
                <w:sz w:val="18"/>
                <w:szCs w:val="18"/>
              </w:rPr>
            </w:pPr>
            <w:r>
              <w:rPr>
                <w:rFonts w:hint="eastAsia" w:ascii="宋体"/>
                <w:kern w:val="0"/>
                <w:sz w:val="18"/>
                <w:szCs w:val="18"/>
              </w:rPr>
              <w:t>GB/T 5273-2016</w:t>
            </w:r>
          </w:p>
        </w:tc>
        <w:tc>
          <w:tcPr>
            <w:tcW w:w="7087" w:type="dxa"/>
            <w:tcBorders>
              <w:top w:val="nil"/>
              <w:left w:val="nil"/>
              <w:bottom w:val="nil"/>
              <w:right w:val="nil"/>
            </w:tcBorders>
            <w:shd w:val="clear" w:color="auto" w:fill="auto"/>
          </w:tcPr>
          <w:p w14:paraId="79BE67B0">
            <w:pPr>
              <w:widowControl/>
              <w:rPr>
                <w:rFonts w:ascii="宋体"/>
                <w:kern w:val="0"/>
                <w:sz w:val="18"/>
                <w:szCs w:val="18"/>
              </w:rPr>
            </w:pPr>
            <w:r>
              <w:rPr>
                <w:rFonts w:hint="eastAsia" w:ascii="宋体"/>
                <w:kern w:val="0"/>
                <w:sz w:val="18"/>
                <w:szCs w:val="18"/>
              </w:rPr>
              <w:t>高压电器端子尺寸标准化</w:t>
            </w:r>
          </w:p>
        </w:tc>
      </w:tr>
      <w:tr w14:paraId="19DCACB6">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4FD130EE">
            <w:pPr>
              <w:widowControl/>
              <w:rPr>
                <w:rFonts w:ascii="宋体"/>
                <w:kern w:val="0"/>
                <w:sz w:val="18"/>
                <w:szCs w:val="18"/>
              </w:rPr>
            </w:pPr>
            <w:r>
              <w:rPr>
                <w:rFonts w:ascii="宋体"/>
                <w:kern w:val="0"/>
                <w:sz w:val="18"/>
                <w:szCs w:val="18"/>
              </w:rPr>
              <w:t>GB/T 6451-</w:t>
            </w:r>
            <w:r>
              <w:rPr>
                <w:rFonts w:hint="eastAsia" w:ascii="宋体"/>
                <w:kern w:val="0"/>
                <w:sz w:val="18"/>
                <w:szCs w:val="18"/>
              </w:rPr>
              <w:t>2015</w:t>
            </w:r>
          </w:p>
        </w:tc>
        <w:tc>
          <w:tcPr>
            <w:tcW w:w="7087" w:type="dxa"/>
            <w:tcBorders>
              <w:top w:val="nil"/>
              <w:left w:val="nil"/>
              <w:bottom w:val="nil"/>
              <w:right w:val="nil"/>
            </w:tcBorders>
            <w:shd w:val="clear" w:color="auto" w:fill="auto"/>
          </w:tcPr>
          <w:p w14:paraId="274EECBC">
            <w:pPr>
              <w:widowControl/>
              <w:rPr>
                <w:rFonts w:ascii="宋体"/>
                <w:kern w:val="0"/>
                <w:sz w:val="18"/>
                <w:szCs w:val="18"/>
              </w:rPr>
            </w:pPr>
            <w:r>
              <w:rPr>
                <w:rFonts w:hint="eastAsia" w:ascii="宋体"/>
                <w:kern w:val="0"/>
                <w:sz w:val="18"/>
                <w:szCs w:val="18"/>
              </w:rPr>
              <w:t>油浸式电力变压器技术参数和要求</w:t>
            </w:r>
          </w:p>
        </w:tc>
      </w:tr>
      <w:tr w14:paraId="12DAD992">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7199944D">
            <w:pPr>
              <w:widowControl/>
              <w:rPr>
                <w:rFonts w:ascii="宋体"/>
                <w:kern w:val="0"/>
                <w:sz w:val="18"/>
                <w:szCs w:val="18"/>
              </w:rPr>
            </w:pPr>
            <w:r>
              <w:rPr>
                <w:rFonts w:ascii="宋体"/>
                <w:kern w:val="0"/>
                <w:sz w:val="18"/>
                <w:szCs w:val="18"/>
              </w:rPr>
              <w:t>JB/T 10088-20</w:t>
            </w:r>
            <w:r>
              <w:rPr>
                <w:rFonts w:hint="eastAsia" w:ascii="宋体"/>
                <w:kern w:val="0"/>
                <w:sz w:val="18"/>
                <w:szCs w:val="18"/>
              </w:rPr>
              <w:t>16</w:t>
            </w:r>
          </w:p>
        </w:tc>
        <w:tc>
          <w:tcPr>
            <w:tcW w:w="7087" w:type="dxa"/>
            <w:tcBorders>
              <w:top w:val="nil"/>
              <w:left w:val="nil"/>
              <w:bottom w:val="nil"/>
              <w:right w:val="nil"/>
            </w:tcBorders>
            <w:shd w:val="clear" w:color="auto" w:fill="auto"/>
          </w:tcPr>
          <w:p w14:paraId="2BDB305B">
            <w:pPr>
              <w:widowControl/>
              <w:rPr>
                <w:rFonts w:ascii="宋体"/>
                <w:kern w:val="0"/>
                <w:sz w:val="18"/>
                <w:szCs w:val="18"/>
              </w:rPr>
            </w:pPr>
            <w:r>
              <w:rPr>
                <w:rFonts w:ascii="宋体"/>
                <w:kern w:val="0"/>
                <w:sz w:val="18"/>
                <w:szCs w:val="18"/>
              </w:rPr>
              <w:t>6kV～500kV</w:t>
            </w:r>
            <w:r>
              <w:rPr>
                <w:rFonts w:hint="eastAsia" w:ascii="宋体"/>
                <w:kern w:val="0"/>
                <w:sz w:val="18"/>
                <w:szCs w:val="18"/>
              </w:rPr>
              <w:t>级变压器声级</w:t>
            </w:r>
          </w:p>
        </w:tc>
      </w:tr>
      <w:tr w14:paraId="5E9FFEA3">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252A4D08">
            <w:pPr>
              <w:widowControl/>
              <w:rPr>
                <w:rFonts w:ascii="宋体"/>
                <w:kern w:val="0"/>
                <w:sz w:val="18"/>
                <w:szCs w:val="18"/>
              </w:rPr>
            </w:pPr>
            <w:r>
              <w:rPr>
                <w:rFonts w:ascii="宋体"/>
                <w:kern w:val="0"/>
                <w:sz w:val="18"/>
                <w:szCs w:val="18"/>
              </w:rPr>
              <w:t xml:space="preserve">JB/T 10840-2008 </w:t>
            </w:r>
          </w:p>
        </w:tc>
        <w:tc>
          <w:tcPr>
            <w:tcW w:w="7087" w:type="dxa"/>
            <w:tcBorders>
              <w:top w:val="nil"/>
              <w:left w:val="nil"/>
              <w:bottom w:val="nil"/>
              <w:right w:val="nil"/>
            </w:tcBorders>
            <w:shd w:val="clear" w:color="auto" w:fill="auto"/>
          </w:tcPr>
          <w:p w14:paraId="62D9F52F">
            <w:pPr>
              <w:widowControl/>
              <w:rPr>
                <w:rFonts w:ascii="宋体"/>
                <w:kern w:val="0"/>
                <w:sz w:val="18"/>
                <w:szCs w:val="18"/>
              </w:rPr>
            </w:pPr>
            <w:r>
              <w:rPr>
                <w:rFonts w:ascii="宋体"/>
                <w:kern w:val="0"/>
                <w:sz w:val="18"/>
                <w:szCs w:val="18"/>
              </w:rPr>
              <w:t>3.6kV～40.5kV高压交流金属封闭电缆分接开关设备</w:t>
            </w:r>
          </w:p>
        </w:tc>
      </w:tr>
      <w:tr w14:paraId="2BAB9546">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45DA46E4">
            <w:pPr>
              <w:widowControl/>
              <w:rPr>
                <w:rFonts w:ascii="宋体"/>
                <w:kern w:val="0"/>
                <w:sz w:val="18"/>
                <w:szCs w:val="18"/>
              </w:rPr>
            </w:pPr>
            <w:r>
              <w:rPr>
                <w:rFonts w:ascii="宋体"/>
                <w:kern w:val="0"/>
                <w:sz w:val="18"/>
                <w:szCs w:val="18"/>
              </w:rPr>
              <w:t xml:space="preserve">GB/T 11022-2020  </w:t>
            </w:r>
          </w:p>
        </w:tc>
        <w:tc>
          <w:tcPr>
            <w:tcW w:w="7087" w:type="dxa"/>
            <w:tcBorders>
              <w:top w:val="nil"/>
              <w:left w:val="nil"/>
              <w:bottom w:val="nil"/>
              <w:right w:val="nil"/>
            </w:tcBorders>
            <w:shd w:val="clear" w:color="auto" w:fill="auto"/>
          </w:tcPr>
          <w:p w14:paraId="61DE63E8">
            <w:pPr>
              <w:widowControl/>
              <w:rPr>
                <w:rFonts w:ascii="宋体"/>
                <w:kern w:val="0"/>
                <w:sz w:val="18"/>
                <w:szCs w:val="18"/>
              </w:rPr>
            </w:pPr>
            <w:r>
              <w:rPr>
                <w:rFonts w:ascii="宋体"/>
                <w:kern w:val="0"/>
                <w:sz w:val="18"/>
                <w:szCs w:val="18"/>
              </w:rPr>
              <w:t>高压开关设备和控制设备标准的共用技术要求</w:t>
            </w:r>
          </w:p>
        </w:tc>
      </w:tr>
      <w:tr w14:paraId="7F4E98DB">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790D149D">
            <w:pPr>
              <w:widowControl/>
              <w:rPr>
                <w:rFonts w:ascii="宋体"/>
                <w:kern w:val="0"/>
                <w:sz w:val="18"/>
                <w:szCs w:val="18"/>
              </w:rPr>
            </w:pPr>
            <w:r>
              <w:rPr>
                <w:rFonts w:ascii="宋体"/>
                <w:kern w:val="0"/>
                <w:sz w:val="18"/>
                <w:szCs w:val="18"/>
              </w:rPr>
              <w:t>GB/T 12706.</w:t>
            </w:r>
            <w:r>
              <w:rPr>
                <w:rFonts w:hint="eastAsia" w:ascii="宋体"/>
                <w:kern w:val="0"/>
                <w:sz w:val="18"/>
                <w:szCs w:val="18"/>
              </w:rPr>
              <w:t>2</w:t>
            </w:r>
            <w:r>
              <w:rPr>
                <w:rFonts w:ascii="宋体"/>
                <w:kern w:val="0"/>
                <w:sz w:val="18"/>
                <w:szCs w:val="18"/>
              </w:rPr>
              <w:t xml:space="preserve">-2008 </w:t>
            </w:r>
          </w:p>
        </w:tc>
        <w:tc>
          <w:tcPr>
            <w:tcW w:w="7087" w:type="dxa"/>
            <w:tcBorders>
              <w:top w:val="nil"/>
              <w:left w:val="nil"/>
              <w:bottom w:val="nil"/>
              <w:right w:val="nil"/>
            </w:tcBorders>
            <w:shd w:val="clear" w:color="auto" w:fill="auto"/>
          </w:tcPr>
          <w:p w14:paraId="05DCB669">
            <w:pPr>
              <w:widowControl/>
              <w:rPr>
                <w:rFonts w:ascii="宋体"/>
                <w:kern w:val="0"/>
                <w:sz w:val="18"/>
                <w:szCs w:val="18"/>
              </w:rPr>
            </w:pPr>
            <w:r>
              <w:rPr>
                <w:rFonts w:ascii="宋体"/>
                <w:kern w:val="0"/>
                <w:sz w:val="18"/>
                <w:szCs w:val="18"/>
              </w:rPr>
              <w:t>《额定电压1kV(Um=1.2kV)到35kV(Um=40.5kV)挤包绝缘电力电缆及附件  第2部分：额定电压6kV(Um=7.2kV)到30kV(Um=36kV) 电缆 》</w:t>
            </w:r>
          </w:p>
        </w:tc>
      </w:tr>
      <w:tr w14:paraId="4E1E361F">
        <w:tblPrEx>
          <w:tblCellMar>
            <w:top w:w="0" w:type="dxa"/>
            <w:left w:w="108" w:type="dxa"/>
            <w:bottom w:w="0" w:type="dxa"/>
            <w:right w:w="108" w:type="dxa"/>
          </w:tblCellMar>
        </w:tblPrEx>
        <w:trPr>
          <w:trHeight w:val="285" w:hRule="atLeast"/>
        </w:trPr>
        <w:tc>
          <w:tcPr>
            <w:tcW w:w="1843" w:type="dxa"/>
            <w:tcBorders>
              <w:top w:val="nil"/>
              <w:left w:val="nil"/>
              <w:bottom w:val="nil"/>
              <w:right w:val="nil"/>
            </w:tcBorders>
            <w:shd w:val="clear" w:color="auto" w:fill="auto"/>
          </w:tcPr>
          <w:p w14:paraId="054B0B0A">
            <w:pPr>
              <w:widowControl/>
              <w:rPr>
                <w:rFonts w:ascii="宋体"/>
                <w:kern w:val="0"/>
                <w:sz w:val="18"/>
                <w:szCs w:val="18"/>
              </w:rPr>
            </w:pPr>
            <w:r>
              <w:rPr>
                <w:rFonts w:ascii="宋体"/>
                <w:kern w:val="0"/>
                <w:sz w:val="18"/>
                <w:szCs w:val="18"/>
              </w:rPr>
              <w:t xml:space="preserve">GB/T 12706.4-2008 </w:t>
            </w:r>
          </w:p>
        </w:tc>
        <w:tc>
          <w:tcPr>
            <w:tcW w:w="7087" w:type="dxa"/>
            <w:tcBorders>
              <w:top w:val="nil"/>
              <w:left w:val="nil"/>
              <w:bottom w:val="nil"/>
              <w:right w:val="nil"/>
            </w:tcBorders>
            <w:shd w:val="clear" w:color="auto" w:fill="auto"/>
          </w:tcPr>
          <w:p w14:paraId="2AF32D51">
            <w:pPr>
              <w:widowControl/>
              <w:rPr>
                <w:rFonts w:ascii="宋体"/>
                <w:kern w:val="0"/>
                <w:sz w:val="18"/>
                <w:szCs w:val="18"/>
              </w:rPr>
            </w:pPr>
            <w:r>
              <w:rPr>
                <w:rFonts w:ascii="宋体"/>
                <w:kern w:val="0"/>
                <w:sz w:val="18"/>
                <w:szCs w:val="18"/>
              </w:rPr>
              <w:t>额定电压1kV(Um=1.2kV)到35kV(Um=40.5kV)挤包绝缘电力电缆及附件 第4部分：额定电压6kV(Um=7.2kV)到35kV(Um=40.5kV)电力电缆附件试验要求</w:t>
            </w:r>
          </w:p>
        </w:tc>
      </w:tr>
    </w:tbl>
    <w:p w14:paraId="615FAFFB">
      <w:pPr>
        <w:pStyle w:val="45"/>
        <w:spacing w:before="312" w:after="312"/>
        <w:ind w:left="0"/>
        <w:outlineLvl w:val="0"/>
      </w:pPr>
      <w:bookmarkStart w:id="18" w:name="_Toc445123724"/>
      <w:bookmarkEnd w:id="18"/>
      <w:bookmarkStart w:id="19" w:name="_Toc62463860"/>
      <w:bookmarkStart w:id="20" w:name="_Toc62464352"/>
      <w:bookmarkStart w:id="21" w:name="_Toc102557400"/>
      <w:r>
        <w:rPr>
          <w:rFonts w:hint="eastAsia"/>
        </w:rPr>
        <w:t>术语和定义</w:t>
      </w:r>
      <w:bookmarkEnd w:id="19"/>
      <w:bookmarkEnd w:id="20"/>
      <w:bookmarkEnd w:id="21"/>
    </w:p>
    <w:p w14:paraId="2EEF163D">
      <w:pPr>
        <w:pStyle w:val="25"/>
        <w:rPr>
          <w:color w:val="000000"/>
        </w:rPr>
      </w:pPr>
      <w:r>
        <w:rPr>
          <w:rFonts w:hint="eastAsia"/>
          <w:color w:val="000000"/>
        </w:rPr>
        <w:t>下列术语和定义适用于本文件。</w:t>
      </w:r>
    </w:p>
    <w:p w14:paraId="2534E4C6">
      <w:pPr>
        <w:pStyle w:val="42"/>
        <w:spacing w:before="156" w:after="156"/>
        <w:ind w:left="0"/>
        <w:outlineLvl w:val="9"/>
      </w:pPr>
    </w:p>
    <w:p w14:paraId="793945C2">
      <w:pPr>
        <w:pStyle w:val="42"/>
        <w:numPr>
          <w:ilvl w:val="0"/>
          <w:numId w:val="0"/>
        </w:numPr>
        <w:spacing w:before="156" w:after="0" w:afterLines="0"/>
        <w:ind w:left="0" w:firstLine="420" w:firstLineChars="200"/>
        <w:outlineLvl w:val="9"/>
      </w:pPr>
      <w:r>
        <w:rPr>
          <w:rFonts w:hint="eastAsia"/>
        </w:rPr>
        <w:t>差异化</w:t>
      </w:r>
      <w:r>
        <w:rPr>
          <w:rFonts w:hint="eastAsia"/>
          <w:color w:val="000000"/>
        </w:rPr>
        <w:t>(</w:t>
      </w:r>
      <w:r>
        <w:rPr>
          <w:rFonts w:ascii="Arial" w:hAnsi="Arial" w:cs="Arial"/>
        </w:rPr>
        <w:t>D</w:t>
      </w:r>
      <w:r>
        <w:rPr>
          <w:rFonts w:hint="eastAsia" w:ascii="Arial" w:hAnsi="Arial" w:cs="Arial"/>
        </w:rPr>
        <w:t>ifferentiation</w:t>
      </w:r>
      <w:r>
        <w:rPr>
          <w:rFonts w:hint="eastAsia"/>
          <w:color w:val="000000"/>
        </w:rPr>
        <w:t>)</w:t>
      </w:r>
    </w:p>
    <w:p w14:paraId="25362EC5">
      <w:pPr>
        <w:pStyle w:val="25"/>
        <w:rPr>
          <w:color w:val="000000"/>
        </w:rPr>
      </w:pPr>
      <w:r>
        <w:rPr>
          <w:rFonts w:hint="eastAsia"/>
          <w:color w:val="000000"/>
        </w:rPr>
        <w:t>差异化是指企业在顾客广泛重视的某些方面，力求使企业产品、服务、企业形象等与同行或传统行为有明显的区别，以获得竞争优势或优化产品和服务。</w:t>
      </w:r>
    </w:p>
    <w:p w14:paraId="2AAD08D2">
      <w:pPr>
        <w:pStyle w:val="42"/>
        <w:spacing w:before="156" w:after="156"/>
        <w:ind w:left="0"/>
        <w:outlineLvl w:val="9"/>
      </w:pPr>
    </w:p>
    <w:p w14:paraId="4B381E2E">
      <w:pPr>
        <w:pStyle w:val="42"/>
        <w:numPr>
          <w:ilvl w:val="0"/>
          <w:numId w:val="0"/>
        </w:numPr>
        <w:spacing w:before="156" w:after="0" w:afterLines="0"/>
        <w:ind w:left="0" w:firstLine="420" w:firstLineChars="200"/>
        <w:outlineLvl w:val="9"/>
      </w:pPr>
      <w:r>
        <w:rPr>
          <w:rFonts w:hint="eastAsia"/>
        </w:rPr>
        <w:t>到货抽检（</w:t>
      </w:r>
      <w:r>
        <w:rPr>
          <w:rFonts w:ascii="黑体" w:hAnsi="Times New Roman" w:cs="Times New Roman"/>
        </w:rPr>
        <w:t>Arrival goods sampling</w:t>
      </w:r>
      <w:r>
        <w:rPr>
          <w:rFonts w:hint="eastAsia"/>
        </w:rPr>
        <w:t>）</w:t>
      </w:r>
    </w:p>
    <w:p w14:paraId="42EAA5E6">
      <w:pPr>
        <w:pStyle w:val="25"/>
        <w:rPr>
          <w:color w:val="000000"/>
        </w:rPr>
      </w:pPr>
      <w:r>
        <w:rPr>
          <w:rFonts w:hint="eastAsia"/>
          <w:color w:val="000000"/>
        </w:rPr>
        <w:t>指根据抽样计划，在项目现场或仓库对已送达的设备按抽样标准实施抽样检测的一种方式。</w:t>
      </w:r>
    </w:p>
    <w:p w14:paraId="3EEB4491">
      <w:pPr>
        <w:pStyle w:val="42"/>
        <w:spacing w:before="156" w:after="156"/>
        <w:ind w:left="0"/>
        <w:outlineLvl w:val="9"/>
      </w:pPr>
    </w:p>
    <w:p w14:paraId="62B24A9C">
      <w:pPr>
        <w:pStyle w:val="42"/>
        <w:numPr>
          <w:ilvl w:val="0"/>
          <w:numId w:val="0"/>
        </w:numPr>
        <w:spacing w:before="156" w:after="0" w:afterLines="0"/>
        <w:ind w:left="0" w:firstLine="420" w:firstLineChars="200"/>
        <w:outlineLvl w:val="9"/>
      </w:pPr>
      <w:r>
        <w:rPr>
          <w:rFonts w:hint="eastAsia"/>
        </w:rPr>
        <w:t>差异化抽检（</w:t>
      </w:r>
      <w:r>
        <w:rPr>
          <w:rFonts w:ascii="黑体" w:hAnsi="Times New Roman" w:cs="Times New Roman"/>
        </w:rPr>
        <w:t>Differential sampling</w:t>
      </w:r>
      <w:r>
        <w:rPr>
          <w:rFonts w:hint="eastAsia"/>
        </w:rPr>
        <w:t>）</w:t>
      </w:r>
    </w:p>
    <w:p w14:paraId="6CE53E00">
      <w:pPr>
        <w:pStyle w:val="25"/>
        <w:rPr>
          <w:color w:val="000000"/>
        </w:rPr>
      </w:pPr>
      <w:r>
        <w:rPr>
          <w:rFonts w:hint="eastAsia"/>
          <w:color w:val="000000"/>
        </w:rPr>
        <w:t>依据到货设备原材料及组部件检验、生产工艺及过程检验、出厂试验和同类设备运输安装调试缺陷、运维缺陷涉及的数据对设备进行质量评价，按评价结果确定设备抽检准则和策略的抽检模式。</w:t>
      </w:r>
    </w:p>
    <w:p w14:paraId="31888574">
      <w:pPr>
        <w:pStyle w:val="42"/>
        <w:spacing w:before="156" w:after="156"/>
        <w:ind w:left="0"/>
        <w:outlineLvl w:val="9"/>
      </w:pPr>
    </w:p>
    <w:p w14:paraId="5D748BEE">
      <w:pPr>
        <w:pStyle w:val="42"/>
        <w:numPr>
          <w:ilvl w:val="0"/>
          <w:numId w:val="0"/>
        </w:numPr>
        <w:spacing w:before="156" w:after="0" w:afterLines="0"/>
        <w:ind w:left="0" w:firstLine="420" w:firstLineChars="200"/>
        <w:outlineLvl w:val="9"/>
      </w:pPr>
      <w:r>
        <w:rPr>
          <w:rFonts w:hint="eastAsia"/>
        </w:rPr>
        <w:t>质量评价（</w:t>
      </w:r>
      <w:r>
        <w:rPr>
          <w:rFonts w:ascii="黑体" w:hAnsi="Times New Roman" w:cs="Times New Roman"/>
        </w:rPr>
        <w:t>Quality evaluation</w:t>
      </w:r>
      <w:r>
        <w:rPr>
          <w:rFonts w:hint="eastAsia"/>
        </w:rPr>
        <w:t>）</w:t>
      </w:r>
    </w:p>
    <w:p w14:paraId="5B290CAA">
      <w:pPr>
        <w:pStyle w:val="25"/>
        <w:ind w:firstLine="424" w:firstLineChars="202"/>
      </w:pPr>
      <w:r>
        <w:rPr>
          <w:rFonts w:hint="eastAsia"/>
        </w:rPr>
        <w:t>通过对设备</w:t>
      </w:r>
      <w:r>
        <w:rPr>
          <w:rFonts w:hint="eastAsia" w:ascii="宋体"/>
          <w:kern w:val="0"/>
          <w:szCs w:val="21"/>
        </w:rPr>
        <w:t>全生命周期质量数据的分</w:t>
      </w:r>
      <w:r>
        <w:rPr>
          <w:rFonts w:hint="eastAsia"/>
        </w:rPr>
        <w:t>析，确定设备质量相关的关键评价项目，并获得评价结果和构建质量评价信息库的过程。</w:t>
      </w:r>
    </w:p>
    <w:p w14:paraId="50D7C27A">
      <w:pPr>
        <w:pStyle w:val="42"/>
        <w:spacing w:before="156" w:after="156"/>
        <w:ind w:left="0"/>
        <w:outlineLvl w:val="9"/>
      </w:pPr>
      <w:bookmarkStart w:id="22" w:name="_Hlk89763683"/>
      <w:bookmarkStart w:id="23" w:name="_Hlk88074434"/>
    </w:p>
    <w:p w14:paraId="004CB1AB">
      <w:pPr>
        <w:pStyle w:val="42"/>
        <w:numPr>
          <w:ilvl w:val="0"/>
          <w:numId w:val="0"/>
        </w:numPr>
        <w:spacing w:before="156" w:after="0" w:afterLines="0"/>
        <w:ind w:left="0" w:firstLine="420" w:firstLineChars="200"/>
        <w:outlineLvl w:val="9"/>
      </w:pPr>
      <w:r>
        <w:rPr>
          <w:rFonts w:hint="eastAsia"/>
        </w:rPr>
        <w:t>数据来源（</w:t>
      </w:r>
      <w:r>
        <w:rPr>
          <w:rFonts w:ascii="黑体" w:hAnsi="Times New Roman" w:cs="Times New Roman"/>
        </w:rPr>
        <w:t>The data source</w:t>
      </w:r>
      <w:r>
        <w:rPr>
          <w:rFonts w:hint="eastAsia"/>
        </w:rPr>
        <w:t>）</w:t>
      </w:r>
    </w:p>
    <w:bookmarkEnd w:id="22"/>
    <w:p w14:paraId="19489D74">
      <w:pPr>
        <w:pStyle w:val="25"/>
        <w:spacing w:before="0" w:beforeLines="-2147483648" w:after="62" w:afterLines="20" w:line="300" w:lineRule="exact"/>
      </w:pPr>
      <w:r>
        <w:rPr>
          <w:rFonts w:hint="eastAsia"/>
        </w:rPr>
        <w:t>数据的出处，即数据</w:t>
      </w:r>
      <w:r>
        <w:rPr>
          <w:rFonts w:hint="eastAsia"/>
          <w:highlight w:val="none"/>
        </w:rPr>
        <w:t>产生</w:t>
      </w:r>
      <w:r>
        <w:rPr>
          <w:rFonts w:hint="eastAsia"/>
        </w:rPr>
        <w:t>的维度，以D</w:t>
      </w:r>
      <w:r>
        <w:rPr>
          <w:vertAlign w:val="subscript"/>
        </w:rPr>
        <w:t>i</w:t>
      </w:r>
      <w:r>
        <w:rPr>
          <w:rFonts w:hint="eastAsia"/>
        </w:rPr>
        <w:t>表示。</w:t>
      </w:r>
    </w:p>
    <w:p w14:paraId="11CD24B1">
      <w:pPr>
        <w:pStyle w:val="25"/>
        <w:spacing w:before="93" w:beforeLines="30" w:line="300" w:lineRule="exact"/>
        <w:ind w:firstLine="360"/>
      </w:pPr>
      <w:r>
        <w:rPr>
          <w:rFonts w:hint="eastAsia" w:ascii="黑体" w:hAnsi="黑体" w:eastAsia="黑体"/>
          <w:sz w:val="18"/>
          <w:szCs w:val="18"/>
        </w:rPr>
        <w:t>注：本规范的数据来源覆盖以下五个维度：D</w:t>
      </w:r>
      <w:r>
        <w:rPr>
          <w:rFonts w:hint="eastAsia" w:ascii="黑体" w:hAnsi="黑体" w:eastAsia="黑体"/>
          <w:sz w:val="18"/>
          <w:szCs w:val="18"/>
          <w:vertAlign w:val="subscript"/>
        </w:rPr>
        <w:t>1</w:t>
      </w:r>
      <w:r>
        <w:rPr>
          <w:rFonts w:ascii="黑体" w:hAnsi="黑体" w:eastAsia="黑体"/>
          <w:sz w:val="18"/>
          <w:szCs w:val="18"/>
        </w:rPr>
        <w:t>-</w:t>
      </w:r>
      <w:r>
        <w:rPr>
          <w:rFonts w:hint="eastAsia" w:ascii="黑体" w:hAnsi="黑体" w:eastAsia="黑体"/>
          <w:sz w:val="18"/>
          <w:szCs w:val="18"/>
        </w:rPr>
        <w:t>生产制造；</w:t>
      </w:r>
      <w:r>
        <w:rPr>
          <w:rFonts w:ascii="黑体" w:hAnsi="黑体" w:eastAsia="黑体"/>
          <w:sz w:val="18"/>
          <w:szCs w:val="18"/>
        </w:rPr>
        <w:t>D</w:t>
      </w:r>
      <w:r>
        <w:rPr>
          <w:rFonts w:hint="eastAsia" w:ascii="黑体" w:hAnsi="黑体" w:eastAsia="黑体"/>
          <w:sz w:val="18"/>
          <w:szCs w:val="18"/>
          <w:vertAlign w:val="subscript"/>
        </w:rPr>
        <w:t>2</w:t>
      </w:r>
      <w:r>
        <w:rPr>
          <w:rFonts w:ascii="黑体" w:hAnsi="黑体" w:eastAsia="黑体"/>
          <w:sz w:val="18"/>
          <w:szCs w:val="18"/>
        </w:rPr>
        <w:t>-</w:t>
      </w:r>
      <w:r>
        <w:rPr>
          <w:rFonts w:hint="eastAsia" w:ascii="黑体" w:hAnsi="黑体" w:eastAsia="黑体"/>
          <w:sz w:val="18"/>
          <w:szCs w:val="18"/>
        </w:rPr>
        <w:t>设备抽检；</w:t>
      </w:r>
      <w:r>
        <w:rPr>
          <w:rFonts w:ascii="黑体" w:hAnsi="黑体" w:eastAsia="黑体"/>
          <w:sz w:val="18"/>
          <w:szCs w:val="18"/>
        </w:rPr>
        <w:t>D</w:t>
      </w:r>
      <w:r>
        <w:rPr>
          <w:rFonts w:hint="eastAsia" w:ascii="黑体" w:hAnsi="黑体" w:eastAsia="黑体"/>
          <w:sz w:val="18"/>
          <w:szCs w:val="18"/>
          <w:vertAlign w:val="subscript"/>
        </w:rPr>
        <w:t>3</w:t>
      </w:r>
      <w:r>
        <w:rPr>
          <w:rFonts w:ascii="黑体" w:hAnsi="黑体" w:eastAsia="黑体"/>
          <w:sz w:val="18"/>
          <w:szCs w:val="18"/>
        </w:rPr>
        <w:t>-</w:t>
      </w:r>
      <w:r>
        <w:rPr>
          <w:rFonts w:hint="eastAsia" w:ascii="黑体" w:hAnsi="黑体" w:eastAsia="黑体"/>
          <w:sz w:val="18"/>
          <w:szCs w:val="18"/>
        </w:rPr>
        <w:t>设备运行；</w:t>
      </w:r>
      <w:r>
        <w:rPr>
          <w:rFonts w:ascii="黑体" w:hAnsi="黑体" w:eastAsia="黑体"/>
          <w:sz w:val="18"/>
          <w:szCs w:val="18"/>
        </w:rPr>
        <w:t>D</w:t>
      </w:r>
      <w:r>
        <w:rPr>
          <w:rFonts w:hint="eastAsia" w:ascii="黑体" w:hAnsi="黑体" w:eastAsia="黑体"/>
          <w:sz w:val="18"/>
          <w:szCs w:val="18"/>
          <w:vertAlign w:val="subscript"/>
        </w:rPr>
        <w:t>4</w:t>
      </w:r>
      <w:r>
        <w:rPr>
          <w:rFonts w:ascii="黑体" w:hAnsi="黑体" w:eastAsia="黑体"/>
          <w:sz w:val="18"/>
          <w:szCs w:val="18"/>
        </w:rPr>
        <w:t>-</w:t>
      </w:r>
      <w:r>
        <w:rPr>
          <w:rFonts w:hint="eastAsia" w:ascii="黑体" w:hAnsi="黑体" w:eastAsia="黑体"/>
          <w:sz w:val="18"/>
          <w:szCs w:val="18"/>
        </w:rPr>
        <w:t>基建安装；</w:t>
      </w:r>
      <w:r>
        <w:rPr>
          <w:rFonts w:ascii="黑体" w:hAnsi="黑体" w:eastAsia="黑体"/>
          <w:sz w:val="18"/>
          <w:szCs w:val="18"/>
        </w:rPr>
        <w:t>D</w:t>
      </w:r>
      <w:r>
        <w:rPr>
          <w:rFonts w:hint="eastAsia" w:ascii="黑体" w:hAnsi="黑体" w:eastAsia="黑体"/>
          <w:sz w:val="18"/>
          <w:szCs w:val="18"/>
          <w:vertAlign w:val="subscript"/>
        </w:rPr>
        <w:t>5</w:t>
      </w:r>
      <w:r>
        <w:rPr>
          <w:rFonts w:ascii="黑体" w:hAnsi="黑体" w:eastAsia="黑体"/>
          <w:sz w:val="18"/>
          <w:szCs w:val="18"/>
        </w:rPr>
        <w:t>-</w:t>
      </w:r>
      <w:r>
        <w:rPr>
          <w:rFonts w:hint="eastAsia" w:ascii="黑体" w:hAnsi="黑体" w:eastAsia="黑体"/>
          <w:sz w:val="18"/>
          <w:szCs w:val="18"/>
        </w:rPr>
        <w:t>供应商资质能力评价。</w:t>
      </w:r>
    </w:p>
    <w:p w14:paraId="060548F7">
      <w:pPr>
        <w:pStyle w:val="42"/>
        <w:spacing w:before="156" w:after="156"/>
        <w:ind w:left="0"/>
        <w:outlineLvl w:val="9"/>
      </w:pPr>
    </w:p>
    <w:p w14:paraId="13CCED47">
      <w:pPr>
        <w:pStyle w:val="42"/>
        <w:numPr>
          <w:ilvl w:val="0"/>
          <w:numId w:val="0"/>
        </w:numPr>
        <w:spacing w:before="156" w:after="0" w:afterLines="0"/>
        <w:ind w:left="0" w:firstLine="420" w:firstLineChars="200"/>
        <w:outlineLvl w:val="9"/>
      </w:pPr>
      <w:r>
        <w:rPr>
          <w:rFonts w:hint="eastAsia"/>
        </w:rPr>
        <w:t>数据分值（</w:t>
      </w:r>
      <w:r>
        <w:rPr>
          <w:rFonts w:ascii="黑体" w:hAnsi="Times New Roman" w:cs="Times New Roman"/>
        </w:rPr>
        <w:t>The data points</w:t>
      </w:r>
      <w:r>
        <w:rPr>
          <w:rFonts w:hint="eastAsia"/>
        </w:rPr>
        <w:t>）</w:t>
      </w:r>
    </w:p>
    <w:p w14:paraId="37B775A5">
      <w:pPr>
        <w:pStyle w:val="25"/>
        <w:spacing w:before="0" w:beforeLines="-2147483648" w:line="300" w:lineRule="exact"/>
      </w:pPr>
      <w:r>
        <w:rPr>
          <w:rFonts w:hint="eastAsia"/>
        </w:rPr>
        <w:t xml:space="preserve">各维度来源不同的数据经过评价获得的分值，以 </w:t>
      </w:r>
      <w:r>
        <w:t>X</w:t>
      </w:r>
      <w:r>
        <w:rPr>
          <w:vertAlign w:val="subscript"/>
        </w:rPr>
        <w:t>i</w:t>
      </w:r>
      <w:r>
        <w:rPr>
          <w:rFonts w:hint="eastAsia"/>
        </w:rPr>
        <w:t>表示。</w:t>
      </w:r>
    </w:p>
    <w:p w14:paraId="14291776">
      <w:pPr>
        <w:pStyle w:val="25"/>
        <w:spacing w:before="93" w:beforeLines="30" w:line="300" w:lineRule="exact"/>
        <w:ind w:firstLine="360"/>
        <w:rPr>
          <w:rFonts w:ascii="黑体" w:hAnsi="黑体" w:eastAsia="黑体"/>
          <w:sz w:val="18"/>
          <w:szCs w:val="18"/>
        </w:rPr>
      </w:pPr>
      <w:r>
        <w:rPr>
          <w:rFonts w:hint="eastAsia" w:ascii="黑体" w:hAnsi="黑体" w:eastAsia="黑体"/>
          <w:sz w:val="18"/>
          <w:szCs w:val="18"/>
        </w:rPr>
        <w:t>注：本规范五个维度数据分值分别为：</w:t>
      </w:r>
      <w:r>
        <w:rPr>
          <w:rFonts w:ascii="黑体" w:hAnsi="黑体" w:eastAsia="黑体"/>
          <w:sz w:val="18"/>
          <w:szCs w:val="18"/>
        </w:rPr>
        <w:t>X</w:t>
      </w:r>
      <w:r>
        <w:rPr>
          <w:rFonts w:ascii="黑体" w:hAnsi="黑体" w:eastAsia="黑体"/>
          <w:sz w:val="18"/>
          <w:szCs w:val="18"/>
          <w:vertAlign w:val="subscript"/>
        </w:rPr>
        <w:t>1</w:t>
      </w:r>
      <w:bookmarkStart w:id="24" w:name="_Hlk89795701"/>
      <w:r>
        <w:rPr>
          <w:rFonts w:hint="eastAsia" w:ascii="黑体" w:hAnsi="黑体" w:eastAsia="黑体"/>
          <w:sz w:val="18"/>
          <w:szCs w:val="18"/>
        </w:rPr>
        <w:t>-</w:t>
      </w:r>
      <w:bookmarkEnd w:id="24"/>
      <w:r>
        <w:rPr>
          <w:rFonts w:hint="eastAsia" w:ascii="黑体" w:hAnsi="黑体" w:eastAsia="黑体"/>
          <w:sz w:val="18"/>
          <w:szCs w:val="18"/>
        </w:rPr>
        <w:t>生产制造；</w:t>
      </w:r>
      <w:r>
        <w:rPr>
          <w:rFonts w:ascii="黑体" w:hAnsi="黑体" w:eastAsia="黑体"/>
          <w:sz w:val="18"/>
          <w:szCs w:val="18"/>
        </w:rPr>
        <w:t>X</w:t>
      </w:r>
      <w:r>
        <w:rPr>
          <w:rFonts w:ascii="黑体" w:hAnsi="黑体" w:eastAsia="黑体"/>
          <w:sz w:val="18"/>
          <w:szCs w:val="18"/>
          <w:vertAlign w:val="subscript"/>
        </w:rPr>
        <w:t>2—</w:t>
      </w:r>
      <w:r>
        <w:rPr>
          <w:rFonts w:hint="eastAsia" w:ascii="黑体" w:hAnsi="黑体" w:eastAsia="黑体"/>
          <w:sz w:val="18"/>
          <w:szCs w:val="18"/>
        </w:rPr>
        <w:t>设备抽检；</w:t>
      </w:r>
      <w:r>
        <w:rPr>
          <w:rFonts w:ascii="黑体" w:hAnsi="黑体" w:eastAsia="黑体"/>
          <w:sz w:val="18"/>
          <w:szCs w:val="18"/>
        </w:rPr>
        <w:t>X</w:t>
      </w:r>
      <w:r>
        <w:rPr>
          <w:rFonts w:ascii="黑体" w:hAnsi="黑体" w:eastAsia="黑体"/>
          <w:sz w:val="18"/>
          <w:szCs w:val="18"/>
          <w:vertAlign w:val="subscript"/>
        </w:rPr>
        <w:t>3</w:t>
      </w:r>
      <w:r>
        <w:rPr>
          <w:rFonts w:hint="eastAsia" w:ascii="黑体" w:hAnsi="黑体" w:eastAsia="黑体"/>
          <w:sz w:val="18"/>
          <w:szCs w:val="18"/>
        </w:rPr>
        <w:t>-设备运行；</w:t>
      </w:r>
      <w:r>
        <w:rPr>
          <w:rFonts w:ascii="黑体" w:hAnsi="黑体" w:eastAsia="黑体"/>
          <w:sz w:val="18"/>
          <w:szCs w:val="18"/>
        </w:rPr>
        <w:t>X</w:t>
      </w:r>
      <w:r>
        <w:rPr>
          <w:rFonts w:ascii="黑体" w:hAnsi="黑体" w:eastAsia="黑体"/>
          <w:sz w:val="18"/>
          <w:szCs w:val="18"/>
          <w:vertAlign w:val="subscript"/>
        </w:rPr>
        <w:t>4</w:t>
      </w:r>
      <w:r>
        <w:rPr>
          <w:rFonts w:hint="eastAsia" w:ascii="黑体" w:hAnsi="黑体" w:eastAsia="黑体"/>
          <w:sz w:val="18"/>
          <w:szCs w:val="18"/>
        </w:rPr>
        <w:t>-基建安装；</w:t>
      </w:r>
      <w:r>
        <w:rPr>
          <w:rFonts w:ascii="黑体" w:hAnsi="黑体" w:eastAsia="黑体"/>
          <w:sz w:val="18"/>
          <w:szCs w:val="18"/>
        </w:rPr>
        <w:t>X</w:t>
      </w:r>
      <w:r>
        <w:rPr>
          <w:rFonts w:ascii="黑体" w:hAnsi="黑体" w:eastAsia="黑体"/>
          <w:sz w:val="18"/>
          <w:szCs w:val="18"/>
          <w:vertAlign w:val="subscript"/>
        </w:rPr>
        <w:t>5</w:t>
      </w:r>
      <w:r>
        <w:rPr>
          <w:rFonts w:hint="eastAsia" w:ascii="黑体" w:hAnsi="黑体" w:eastAsia="黑体"/>
          <w:sz w:val="18"/>
          <w:szCs w:val="18"/>
        </w:rPr>
        <w:t>-供应商资质能力评价。</w:t>
      </w:r>
    </w:p>
    <w:p w14:paraId="0775D1BA">
      <w:pPr>
        <w:pStyle w:val="42"/>
        <w:spacing w:before="156" w:after="156"/>
        <w:ind w:left="0"/>
        <w:outlineLvl w:val="9"/>
      </w:pPr>
    </w:p>
    <w:p w14:paraId="4DFB8777">
      <w:pPr>
        <w:pStyle w:val="42"/>
        <w:numPr>
          <w:ilvl w:val="0"/>
          <w:numId w:val="0"/>
        </w:numPr>
        <w:spacing w:before="156" w:after="0" w:afterLines="0"/>
        <w:ind w:left="0" w:firstLine="420" w:firstLineChars="200"/>
        <w:outlineLvl w:val="9"/>
      </w:pPr>
      <w:r>
        <w:rPr>
          <w:rFonts w:hint="eastAsia"/>
        </w:rPr>
        <w:t>权重系数（</w:t>
      </w:r>
      <w:r>
        <w:rPr>
          <w:rFonts w:ascii="黑体" w:hAnsi="Times New Roman" w:cs="Times New Roman"/>
        </w:rPr>
        <w:t>Weight coefficient</w:t>
      </w:r>
      <w:r>
        <w:rPr>
          <w:rFonts w:hint="eastAsia"/>
        </w:rPr>
        <w:t>）</w:t>
      </w:r>
    </w:p>
    <w:p w14:paraId="4588B13A">
      <w:pPr>
        <w:pStyle w:val="25"/>
        <w:spacing w:before="0" w:beforeLines="-2147483648" w:line="300" w:lineRule="exact"/>
      </w:pPr>
      <w:r>
        <w:rPr>
          <w:rFonts w:hint="eastAsia"/>
        </w:rPr>
        <w:t xml:space="preserve">指质量评价过程中为了显示各维度数据分值在评价时所具有的重要程度，分别给予不同的比例系数，以 </w:t>
      </w:r>
      <w:bookmarkStart w:id="25" w:name="_Hlk89767632"/>
      <w:r>
        <w:rPr>
          <w:rFonts w:ascii="Gabriola" w:hAnsi="Gabriola"/>
          <w:sz w:val="36"/>
          <w:szCs w:val="36"/>
        </w:rPr>
        <w:t>w</w:t>
      </w:r>
      <w:bookmarkEnd w:id="25"/>
      <w:r>
        <w:rPr>
          <w:rFonts w:ascii="Gabriola" w:hAnsi="Gabriola"/>
          <w:sz w:val="24"/>
          <w:szCs w:val="24"/>
          <w:vertAlign w:val="subscript"/>
        </w:rPr>
        <w:t>i</w:t>
      </w:r>
      <w:r>
        <w:rPr>
          <w:rFonts w:hint="eastAsia"/>
        </w:rPr>
        <w:t>表示。</w:t>
      </w:r>
    </w:p>
    <w:p w14:paraId="2803E579">
      <w:pPr>
        <w:pStyle w:val="25"/>
        <w:spacing w:before="93" w:beforeLines="30" w:line="300" w:lineRule="exact"/>
        <w:ind w:firstLine="360"/>
        <w:rPr>
          <w:rFonts w:ascii="黑体" w:hAnsi="黑体" w:eastAsia="黑体"/>
          <w:sz w:val="18"/>
          <w:szCs w:val="18"/>
        </w:rPr>
      </w:pPr>
      <w:bookmarkStart w:id="26" w:name="_Hlk89807501"/>
      <w:r>
        <w:rPr>
          <w:rFonts w:hint="eastAsia" w:ascii="黑体" w:hAnsi="黑体" w:eastAsia="黑体"/>
          <w:sz w:val="18"/>
          <w:szCs w:val="18"/>
        </w:rPr>
        <w:t>注：本规范五个维度数据权重系数分别为：</w:t>
      </w:r>
      <w:bookmarkStart w:id="27" w:name="_Hlk89767731"/>
      <w:bookmarkStart w:id="28" w:name="_Hlk89767707"/>
      <w:r>
        <w:rPr>
          <w:rFonts w:ascii="黑体" w:hAnsi="黑体" w:eastAsia="黑体"/>
          <w:sz w:val="18"/>
          <w:szCs w:val="18"/>
        </w:rPr>
        <w:t>W</w:t>
      </w:r>
      <w:r>
        <w:rPr>
          <w:rFonts w:hint="eastAsia" w:ascii="黑体" w:hAnsi="黑体" w:eastAsia="黑体"/>
          <w:sz w:val="18"/>
          <w:szCs w:val="18"/>
          <w:vertAlign w:val="subscript"/>
        </w:rPr>
        <w:t>1</w:t>
      </w:r>
      <w:r>
        <w:rPr>
          <w:rFonts w:ascii="黑体" w:hAnsi="黑体" w:eastAsia="黑体"/>
          <w:sz w:val="18"/>
          <w:szCs w:val="18"/>
        </w:rPr>
        <w:t>-</w:t>
      </w:r>
      <w:r>
        <w:rPr>
          <w:rFonts w:hint="eastAsia" w:ascii="黑体" w:hAnsi="黑体" w:eastAsia="黑体"/>
          <w:sz w:val="18"/>
          <w:szCs w:val="18"/>
        </w:rPr>
        <w:t>生产制造；</w:t>
      </w:r>
      <w:r>
        <w:rPr>
          <w:rFonts w:ascii="黑体" w:hAnsi="黑体" w:eastAsia="黑体"/>
          <w:sz w:val="18"/>
          <w:szCs w:val="18"/>
        </w:rPr>
        <w:t>W</w:t>
      </w:r>
      <w:r>
        <w:rPr>
          <w:rFonts w:hint="eastAsia" w:ascii="黑体" w:hAnsi="黑体" w:eastAsia="黑体"/>
          <w:sz w:val="18"/>
          <w:szCs w:val="18"/>
          <w:vertAlign w:val="subscript"/>
        </w:rPr>
        <w:t>2</w:t>
      </w:r>
      <w:r>
        <w:rPr>
          <w:rFonts w:ascii="黑体" w:hAnsi="黑体" w:eastAsia="黑体"/>
          <w:sz w:val="18"/>
          <w:szCs w:val="18"/>
        </w:rPr>
        <w:t>-</w:t>
      </w:r>
      <w:r>
        <w:rPr>
          <w:rFonts w:hint="eastAsia" w:ascii="黑体" w:hAnsi="黑体" w:eastAsia="黑体"/>
          <w:sz w:val="18"/>
          <w:szCs w:val="18"/>
        </w:rPr>
        <w:t>设备抽检；</w:t>
      </w:r>
      <w:r>
        <w:rPr>
          <w:rFonts w:ascii="黑体" w:hAnsi="黑体" w:eastAsia="黑体"/>
          <w:sz w:val="18"/>
          <w:szCs w:val="18"/>
        </w:rPr>
        <w:t>W</w:t>
      </w:r>
      <w:r>
        <w:rPr>
          <w:rFonts w:hint="eastAsia" w:ascii="黑体" w:hAnsi="黑体" w:eastAsia="黑体"/>
          <w:sz w:val="18"/>
          <w:szCs w:val="18"/>
          <w:vertAlign w:val="subscript"/>
        </w:rPr>
        <w:t>3</w:t>
      </w:r>
      <w:r>
        <w:rPr>
          <w:rFonts w:ascii="黑体" w:hAnsi="黑体" w:eastAsia="黑体"/>
          <w:sz w:val="18"/>
          <w:szCs w:val="18"/>
        </w:rPr>
        <w:t>-</w:t>
      </w:r>
      <w:r>
        <w:rPr>
          <w:rFonts w:hint="eastAsia" w:ascii="黑体" w:hAnsi="黑体" w:eastAsia="黑体"/>
          <w:sz w:val="18"/>
          <w:szCs w:val="18"/>
        </w:rPr>
        <w:t>设备运行  ；</w:t>
      </w:r>
      <w:r>
        <w:rPr>
          <w:rFonts w:ascii="黑体" w:hAnsi="黑体" w:eastAsia="黑体"/>
          <w:sz w:val="18"/>
          <w:szCs w:val="18"/>
        </w:rPr>
        <w:t>W</w:t>
      </w:r>
      <w:r>
        <w:rPr>
          <w:rFonts w:hint="eastAsia" w:ascii="黑体" w:hAnsi="黑体" w:eastAsia="黑体"/>
          <w:sz w:val="18"/>
          <w:szCs w:val="18"/>
          <w:vertAlign w:val="subscript"/>
        </w:rPr>
        <w:t>4</w:t>
      </w:r>
      <w:r>
        <w:rPr>
          <w:rFonts w:ascii="黑体" w:hAnsi="黑体" w:eastAsia="黑体"/>
          <w:sz w:val="18"/>
          <w:szCs w:val="18"/>
        </w:rPr>
        <w:t>-</w:t>
      </w:r>
      <w:r>
        <w:rPr>
          <w:rFonts w:hint="eastAsia" w:ascii="黑体" w:hAnsi="黑体" w:eastAsia="黑体"/>
          <w:sz w:val="18"/>
          <w:szCs w:val="18"/>
        </w:rPr>
        <w:t>基建安装；</w:t>
      </w:r>
      <w:r>
        <w:rPr>
          <w:rFonts w:ascii="黑体" w:hAnsi="黑体" w:eastAsia="黑体"/>
          <w:sz w:val="18"/>
          <w:szCs w:val="18"/>
        </w:rPr>
        <w:t>W</w:t>
      </w:r>
      <w:r>
        <w:rPr>
          <w:rFonts w:hint="eastAsia" w:ascii="黑体" w:hAnsi="黑体" w:eastAsia="黑体"/>
          <w:sz w:val="18"/>
          <w:szCs w:val="18"/>
          <w:vertAlign w:val="subscript"/>
        </w:rPr>
        <w:t>5</w:t>
      </w:r>
      <w:r>
        <w:rPr>
          <w:rFonts w:ascii="黑体" w:hAnsi="黑体" w:eastAsia="黑体"/>
          <w:sz w:val="18"/>
          <w:szCs w:val="18"/>
        </w:rPr>
        <w:t>-</w:t>
      </w:r>
      <w:bookmarkEnd w:id="27"/>
      <w:r>
        <w:rPr>
          <w:rFonts w:hint="eastAsia" w:ascii="黑体" w:hAnsi="黑体" w:eastAsia="黑体"/>
          <w:sz w:val="18"/>
          <w:szCs w:val="18"/>
        </w:rPr>
        <w:t>供应商资质能力评价。</w:t>
      </w:r>
    </w:p>
    <w:bookmarkEnd w:id="26"/>
    <w:p w14:paraId="38871FE9">
      <w:pPr>
        <w:pStyle w:val="42"/>
        <w:spacing w:before="156" w:after="156"/>
        <w:ind w:left="0"/>
        <w:outlineLvl w:val="9"/>
      </w:pPr>
    </w:p>
    <w:p w14:paraId="32DFF607">
      <w:pPr>
        <w:pStyle w:val="42"/>
        <w:numPr>
          <w:ilvl w:val="0"/>
          <w:numId w:val="0"/>
        </w:numPr>
        <w:spacing w:before="156" w:after="0" w:afterLines="0"/>
        <w:ind w:left="0" w:firstLine="420" w:firstLineChars="200"/>
        <w:outlineLvl w:val="9"/>
      </w:pPr>
      <w:r>
        <w:rPr>
          <w:rFonts w:hint="eastAsia"/>
        </w:rPr>
        <w:t>评价分值（</w:t>
      </w:r>
      <w:r>
        <w:rPr>
          <w:rFonts w:ascii="黑体" w:hAnsi="Times New Roman" w:cs="Times New Roman"/>
        </w:rPr>
        <w:t>Evaluation score</w:t>
      </w:r>
      <w:r>
        <w:rPr>
          <w:rFonts w:hint="eastAsia"/>
        </w:rPr>
        <w:t>）</w:t>
      </w:r>
    </w:p>
    <w:p w14:paraId="54EE2FDA">
      <w:pPr>
        <w:pStyle w:val="25"/>
        <w:spacing w:before="0" w:beforeLines="-2147483648" w:line="300" w:lineRule="exact"/>
      </w:pPr>
      <w:bookmarkStart w:id="29" w:name="_Hlk89807791"/>
      <w:r>
        <w:rPr>
          <w:rFonts w:hint="eastAsia"/>
        </w:rPr>
        <w:t>设备每个维度数据分值采用线性加权函数计算的结果，以</w:t>
      </w:r>
      <w:bookmarkStart w:id="30" w:name="_Hlk89807988"/>
      <w:r>
        <w:rPr>
          <w:rFonts w:ascii="Gabriola" w:hAnsi="Gabriola"/>
          <w:sz w:val="36"/>
          <w:szCs w:val="36"/>
        </w:rPr>
        <w:t>y</w:t>
      </w:r>
      <w:bookmarkEnd w:id="30"/>
      <w:r>
        <w:rPr>
          <w:rFonts w:hint="eastAsia"/>
        </w:rPr>
        <w:t>表示。</w:t>
      </w:r>
    </w:p>
    <w:p w14:paraId="50AE98B5">
      <w:pPr>
        <w:pStyle w:val="25"/>
        <w:spacing w:before="93" w:beforeLines="30" w:line="300" w:lineRule="exact"/>
      </w:pPr>
      <w:r>
        <w:rPr>
          <w:rFonts w:hint="eastAsia"/>
        </w:rPr>
        <w:t>评价分值按5</w:t>
      </w:r>
      <w:r>
        <w:t>.3</w:t>
      </w:r>
      <w:r>
        <w:rPr>
          <w:rFonts w:hint="eastAsia"/>
        </w:rPr>
        <w:t>方法计算。</w:t>
      </w:r>
    </w:p>
    <w:bookmarkEnd w:id="28"/>
    <w:bookmarkEnd w:id="29"/>
    <w:p w14:paraId="552541C7">
      <w:pPr>
        <w:pStyle w:val="42"/>
        <w:spacing w:before="156" w:after="156"/>
        <w:ind w:left="0"/>
        <w:outlineLvl w:val="9"/>
      </w:pPr>
    </w:p>
    <w:p w14:paraId="115949F6">
      <w:pPr>
        <w:pStyle w:val="42"/>
        <w:numPr>
          <w:ilvl w:val="0"/>
          <w:numId w:val="0"/>
        </w:numPr>
        <w:spacing w:before="156" w:after="0" w:afterLines="0"/>
        <w:ind w:left="0" w:firstLine="420" w:firstLineChars="200"/>
        <w:outlineLvl w:val="9"/>
      </w:pPr>
      <w:r>
        <w:rPr>
          <w:rFonts w:hint="eastAsia"/>
        </w:rPr>
        <w:t>全生命周期质量数据（</w:t>
      </w:r>
      <w:r>
        <w:rPr>
          <w:rFonts w:ascii="黑体" w:hAnsi="Times New Roman" w:cs="Times New Roman"/>
        </w:rPr>
        <w:t>Full life cycle of data quality</w:t>
      </w:r>
      <w:r>
        <w:rPr>
          <w:rFonts w:hint="eastAsia"/>
        </w:rPr>
        <w:t>）</w:t>
      </w:r>
    </w:p>
    <w:p w14:paraId="3B7389E1">
      <w:pPr>
        <w:pStyle w:val="25"/>
        <w:ind w:left="315" w:leftChars="150" w:firstLine="105" w:firstLineChars="50"/>
      </w:pPr>
      <w:r>
        <w:rPr>
          <w:rFonts w:hint="eastAsia"/>
        </w:rPr>
        <w:t>配网设备在生产制造、设备抽检、运行、基建安装和供应商资质能力评价过程产生和采集的质量</w:t>
      </w:r>
    </w:p>
    <w:p w14:paraId="57519F5E">
      <w:pPr>
        <w:pStyle w:val="25"/>
        <w:ind w:firstLine="0" w:firstLineChars="0"/>
      </w:pPr>
      <w:r>
        <w:rPr>
          <w:rFonts w:hint="eastAsia"/>
        </w:rPr>
        <w:t>数据，用于建模分析和质量评价</w:t>
      </w:r>
      <w:bookmarkStart w:id="31" w:name="_Hlk89764208"/>
      <w:r>
        <w:rPr>
          <w:rFonts w:hint="eastAsia"/>
        </w:rPr>
        <w:t>。</w:t>
      </w:r>
      <w:bookmarkEnd w:id="31"/>
    </w:p>
    <w:p w14:paraId="715BAB7E">
      <w:pPr>
        <w:pStyle w:val="42"/>
        <w:spacing w:before="156" w:after="156"/>
        <w:ind w:left="0"/>
        <w:outlineLvl w:val="9"/>
      </w:pPr>
    </w:p>
    <w:p w14:paraId="64CEF283">
      <w:pPr>
        <w:pStyle w:val="42"/>
        <w:numPr>
          <w:ilvl w:val="0"/>
          <w:numId w:val="0"/>
        </w:numPr>
        <w:spacing w:before="156" w:after="0" w:afterLines="0"/>
        <w:ind w:left="0" w:firstLine="420" w:firstLineChars="200"/>
        <w:outlineLvl w:val="9"/>
      </w:pPr>
      <w:r>
        <w:rPr>
          <w:rFonts w:hint="eastAsia"/>
        </w:rPr>
        <w:t>质量评价信息库（</w:t>
      </w:r>
      <w:r>
        <w:rPr>
          <w:rFonts w:ascii="黑体" w:hAnsi="Times New Roman" w:cs="Times New Roman"/>
        </w:rPr>
        <w:t>Quality evaluation information</w:t>
      </w:r>
      <w:r>
        <w:rPr>
          <w:rFonts w:hint="eastAsia"/>
        </w:rPr>
        <w:t>）</w:t>
      </w:r>
    </w:p>
    <w:bookmarkEnd w:id="23"/>
    <w:p w14:paraId="723A8199">
      <w:pPr>
        <w:pStyle w:val="25"/>
        <w:rPr>
          <w:color w:val="000000"/>
        </w:rPr>
      </w:pPr>
      <w:r>
        <w:rPr>
          <w:rFonts w:hint="eastAsia"/>
          <w:color w:val="000000"/>
        </w:rPr>
        <w:t>用于存储大量质量评价数据、信息文档以及与质量评价有关的结果、文档、知识和资料的地方。</w:t>
      </w:r>
    </w:p>
    <w:p w14:paraId="498ACE02">
      <w:pPr>
        <w:pStyle w:val="42"/>
        <w:spacing w:before="156" w:after="156"/>
        <w:ind w:left="0"/>
        <w:outlineLvl w:val="9"/>
      </w:pPr>
    </w:p>
    <w:p w14:paraId="6D0DED47">
      <w:pPr>
        <w:pStyle w:val="42"/>
        <w:numPr>
          <w:ilvl w:val="0"/>
          <w:numId w:val="0"/>
        </w:numPr>
        <w:spacing w:before="156" w:after="0" w:afterLines="0"/>
        <w:ind w:left="0" w:firstLine="420" w:firstLineChars="200"/>
        <w:outlineLvl w:val="9"/>
      </w:pPr>
      <w:r>
        <w:rPr>
          <w:rFonts w:hint="eastAsia"/>
        </w:rPr>
        <w:t>缺陷分类（</w:t>
      </w:r>
      <w:r>
        <w:rPr>
          <w:rFonts w:ascii="黑体" w:hAnsi="Times New Roman" w:cs="Times New Roman"/>
        </w:rPr>
        <w:t>Defect classification</w:t>
      </w:r>
      <w:r>
        <w:rPr>
          <w:rFonts w:hint="eastAsia"/>
        </w:rPr>
        <w:t>）</w:t>
      </w:r>
    </w:p>
    <w:p w14:paraId="4A54B2BB">
      <w:pPr>
        <w:pStyle w:val="25"/>
        <w:ind w:firstLine="424" w:firstLineChars="202"/>
      </w:pPr>
      <w:r>
        <w:rPr>
          <w:rFonts w:hint="eastAsia"/>
        </w:rPr>
        <w:t>通过对设备缺陷的定义，并按项目的重要性和检测结果的严重程度对设备缺陷进行分类。</w:t>
      </w:r>
    </w:p>
    <w:p w14:paraId="2E59862D">
      <w:pPr>
        <w:pStyle w:val="25"/>
        <w:ind w:firstLine="424" w:firstLineChars="202"/>
      </w:pPr>
      <w:r>
        <w:rPr>
          <w:rFonts w:hint="eastAsia"/>
        </w:rPr>
        <w:t>缺陷分类原则：</w:t>
      </w:r>
    </w:p>
    <w:p w14:paraId="3B7D48CF">
      <w:pPr>
        <w:pStyle w:val="25"/>
        <w:ind w:firstLine="424" w:firstLineChars="202"/>
      </w:pPr>
      <w:r>
        <w:rPr>
          <w:rFonts w:hint="eastAsia"/>
        </w:rPr>
        <w:t>A类缺陷：影响设备基本功能，危及人身安全或会引起严重后果的设备质量异常现象。</w:t>
      </w:r>
    </w:p>
    <w:p w14:paraId="505F0C95">
      <w:pPr>
        <w:pStyle w:val="25"/>
        <w:ind w:firstLine="424" w:firstLineChars="202"/>
      </w:pPr>
      <w:r>
        <w:rPr>
          <w:rFonts w:hint="eastAsia"/>
        </w:rPr>
        <w:t>B类缺陷：严重安全隐患或长期运行会造成严重经济损失的设备质量异常现象。</w:t>
      </w:r>
    </w:p>
    <w:p w14:paraId="697292BB">
      <w:pPr>
        <w:pStyle w:val="25"/>
        <w:ind w:firstLine="424" w:firstLineChars="202"/>
      </w:pPr>
      <w:r>
        <w:rPr>
          <w:rFonts w:hint="eastAsia"/>
        </w:rPr>
        <w:t>C类缺陷：外观或轻微故障且处理方法相对简单的设备质量异常现象。</w:t>
      </w:r>
    </w:p>
    <w:p w14:paraId="6B7411A2">
      <w:pPr>
        <w:pStyle w:val="42"/>
        <w:spacing w:before="156" w:after="156"/>
        <w:ind w:left="0"/>
        <w:outlineLvl w:val="9"/>
      </w:pPr>
    </w:p>
    <w:p w14:paraId="5ED55DCC">
      <w:pPr>
        <w:pStyle w:val="42"/>
        <w:numPr>
          <w:ilvl w:val="0"/>
          <w:numId w:val="0"/>
        </w:numPr>
        <w:spacing w:before="156" w:after="0" w:afterLines="0"/>
        <w:ind w:left="0" w:firstLine="420" w:firstLineChars="200"/>
        <w:outlineLvl w:val="9"/>
      </w:pPr>
      <w:r>
        <w:rPr>
          <w:rFonts w:hint="eastAsia"/>
        </w:rPr>
        <w:t>检测项目（</w:t>
      </w:r>
      <w:r>
        <w:rPr>
          <w:rFonts w:ascii="黑体" w:hAnsi="Times New Roman" w:cs="Times New Roman"/>
        </w:rPr>
        <w:t>The test items</w:t>
      </w:r>
      <w:r>
        <w:rPr>
          <w:rFonts w:hint="eastAsia"/>
        </w:rPr>
        <w:t>）</w:t>
      </w:r>
    </w:p>
    <w:p w14:paraId="3A7C5551">
      <w:pPr>
        <w:pStyle w:val="25"/>
        <w:rPr>
          <w:color w:val="000000"/>
        </w:rPr>
      </w:pPr>
      <w:r>
        <w:rPr>
          <w:rFonts w:hint="eastAsia"/>
          <w:color w:val="000000"/>
        </w:rPr>
        <w:t>根据设备质量控制需要按检测标准确定的检测内容和相应的标准要求。</w:t>
      </w:r>
    </w:p>
    <w:p w14:paraId="4EE1E814">
      <w:pPr>
        <w:pStyle w:val="42"/>
        <w:spacing w:before="156" w:after="156"/>
        <w:ind w:left="0"/>
        <w:outlineLvl w:val="9"/>
      </w:pPr>
      <w:bookmarkStart w:id="32" w:name="_Hlk88404087"/>
      <w:bookmarkStart w:id="33" w:name="_Hlk88404039"/>
    </w:p>
    <w:p w14:paraId="4B91376F">
      <w:pPr>
        <w:pStyle w:val="42"/>
        <w:numPr>
          <w:ilvl w:val="0"/>
          <w:numId w:val="0"/>
        </w:numPr>
        <w:spacing w:before="156" w:after="0" w:afterLines="0"/>
        <w:ind w:left="0" w:firstLine="420" w:firstLineChars="200"/>
        <w:outlineLvl w:val="9"/>
      </w:pPr>
      <w:r>
        <w:rPr>
          <w:rFonts w:hint="eastAsia"/>
        </w:rPr>
        <w:t>差异化匹配准则</w:t>
      </w:r>
      <w:bookmarkEnd w:id="32"/>
      <w:r>
        <w:rPr>
          <w:rFonts w:hint="eastAsia"/>
        </w:rPr>
        <w:t>（</w:t>
      </w:r>
      <w:r>
        <w:rPr>
          <w:rFonts w:ascii="黑体" w:hAnsi="Times New Roman" w:cs="Times New Roman"/>
        </w:rPr>
        <w:t>Differentiation matching criterion</w:t>
      </w:r>
      <w:r>
        <w:rPr>
          <w:rFonts w:hint="eastAsia"/>
        </w:rPr>
        <w:t xml:space="preserve">） </w:t>
      </w:r>
    </w:p>
    <w:bookmarkEnd w:id="33"/>
    <w:p w14:paraId="1D0873F2">
      <w:pPr>
        <w:pStyle w:val="25"/>
        <w:rPr>
          <w:color w:val="000000"/>
        </w:rPr>
      </w:pPr>
      <w:r>
        <w:rPr>
          <w:rFonts w:hint="eastAsia"/>
          <w:color w:val="000000"/>
        </w:rPr>
        <w:t>根据设备质量评价结果，确定设备到货抽检策略的规则。</w:t>
      </w:r>
    </w:p>
    <w:p w14:paraId="6854BD7D">
      <w:pPr>
        <w:pStyle w:val="42"/>
        <w:spacing w:before="156" w:after="156"/>
        <w:ind w:left="0"/>
        <w:outlineLvl w:val="9"/>
      </w:pPr>
    </w:p>
    <w:p w14:paraId="15F6558E">
      <w:pPr>
        <w:pStyle w:val="42"/>
        <w:numPr>
          <w:ilvl w:val="0"/>
          <w:numId w:val="0"/>
        </w:numPr>
        <w:spacing w:before="156" w:after="0" w:afterLines="0"/>
        <w:ind w:left="0" w:firstLine="420" w:firstLineChars="200"/>
        <w:outlineLvl w:val="9"/>
      </w:pPr>
      <w:r>
        <w:rPr>
          <w:rFonts w:hint="eastAsia"/>
        </w:rPr>
        <w:t>差异化抽检策略（</w:t>
      </w:r>
      <w:r>
        <w:rPr>
          <w:rFonts w:ascii="黑体" w:hAnsi="Times New Roman" w:cs="Times New Roman"/>
        </w:rPr>
        <w:t>Differential sampling strategy</w:t>
      </w:r>
      <w:r>
        <w:rPr>
          <w:rFonts w:hint="eastAsia"/>
        </w:rPr>
        <w:t>）</w:t>
      </w:r>
    </w:p>
    <w:p w14:paraId="263CE6B4">
      <w:pPr>
        <w:pStyle w:val="25"/>
        <w:rPr>
          <w:color w:val="000000"/>
        </w:rPr>
      </w:pPr>
      <w:r>
        <w:rPr>
          <w:rFonts w:hint="eastAsia"/>
          <w:color w:val="000000"/>
        </w:rPr>
        <w:t>以提高设备到货抽检质量和效率，降低抽检成本为目的，根据质量评价结果，</w:t>
      </w:r>
      <w:bookmarkStart w:id="34" w:name="_Hlk88397728"/>
      <w:r>
        <w:rPr>
          <w:rFonts w:hint="eastAsia"/>
          <w:color w:val="000000"/>
        </w:rPr>
        <w:t>对不同物资品类、供应商采取差异化抽检方案的战略</w:t>
      </w:r>
      <w:bookmarkEnd w:id="34"/>
      <w:r>
        <w:rPr>
          <w:rFonts w:hint="eastAsia"/>
          <w:color w:val="000000"/>
        </w:rPr>
        <w:t>。</w:t>
      </w:r>
    </w:p>
    <w:p w14:paraId="7D15ED7C">
      <w:pPr>
        <w:pStyle w:val="42"/>
        <w:spacing w:before="156" w:after="156"/>
        <w:ind w:left="0"/>
        <w:outlineLvl w:val="9"/>
      </w:pPr>
      <w:bookmarkStart w:id="35" w:name="_Hlk107694885"/>
    </w:p>
    <w:p w14:paraId="6507166D">
      <w:pPr>
        <w:pStyle w:val="42"/>
        <w:numPr>
          <w:ilvl w:val="0"/>
          <w:numId w:val="0"/>
        </w:numPr>
        <w:spacing w:before="156" w:after="156"/>
        <w:ind w:firstLine="361" w:firstLineChars="200"/>
        <w:outlineLvl w:val="9"/>
        <w:rPr>
          <w:rFonts w:ascii="宋体" w:cs="宋体"/>
          <w:b/>
          <w:color w:val="000000"/>
          <w:kern w:val="0"/>
          <w:sz w:val="18"/>
          <w:szCs w:val="18"/>
        </w:rPr>
      </w:pPr>
      <w:bookmarkStart w:id="36" w:name="_Hlk107694916"/>
      <w:r>
        <w:rPr>
          <w:rFonts w:hint="eastAsia" w:ascii="宋体" w:cs="宋体"/>
          <w:b/>
          <w:color w:val="000000"/>
          <w:sz w:val="18"/>
          <w:szCs w:val="18"/>
        </w:rPr>
        <w:t>差异化抽检方案</w:t>
      </w:r>
      <w:r>
        <w:rPr>
          <w:rFonts w:hint="eastAsia"/>
        </w:rPr>
        <w:t>（</w:t>
      </w:r>
      <w:r>
        <w:t>Differential sampling scheme</w:t>
      </w:r>
      <w:r>
        <w:rPr>
          <w:rFonts w:hint="eastAsia"/>
        </w:rPr>
        <w:t>）</w:t>
      </w:r>
    </w:p>
    <w:bookmarkEnd w:id="36"/>
    <w:p w14:paraId="4EE5E575">
      <w:pPr>
        <w:pStyle w:val="25"/>
        <w:rPr>
          <w:color w:val="000000"/>
        </w:rPr>
      </w:pPr>
      <w:r>
        <w:rPr>
          <w:rFonts w:hint="eastAsia" w:cs="Times New Roman"/>
          <w:color w:val="000000"/>
          <w:sz w:val="21"/>
          <w:szCs w:val="21"/>
        </w:rPr>
        <w:t>对不同等级的供应商设备采取差异化检验项目、抽检频次、抽检数量的方法实施抽检。</w:t>
      </w:r>
    </w:p>
    <w:bookmarkEnd w:id="35"/>
    <w:p w14:paraId="46FB2EA5">
      <w:pPr>
        <w:pStyle w:val="42"/>
        <w:spacing w:before="156" w:after="156"/>
        <w:ind w:left="0"/>
        <w:outlineLvl w:val="9"/>
      </w:pPr>
    </w:p>
    <w:p w14:paraId="6872A5C5">
      <w:pPr>
        <w:pStyle w:val="42"/>
        <w:numPr>
          <w:ilvl w:val="0"/>
          <w:numId w:val="0"/>
        </w:numPr>
        <w:spacing w:before="156" w:after="156"/>
        <w:ind w:firstLine="420" w:firstLineChars="200"/>
        <w:outlineLvl w:val="9"/>
      </w:pPr>
      <w:r>
        <w:rPr>
          <w:rFonts w:hint="eastAsia"/>
        </w:rPr>
        <w:t xml:space="preserve">飞行检查(Unannounced </w:t>
      </w:r>
      <w:r>
        <w:t>i</w:t>
      </w:r>
      <w:r>
        <w:rPr>
          <w:rFonts w:hint="eastAsia"/>
        </w:rPr>
        <w:t>nspection)</w:t>
      </w:r>
      <w:r>
        <w:t xml:space="preserve"> </w:t>
      </w:r>
    </w:p>
    <w:p w14:paraId="30A0C769">
      <w:pPr>
        <w:pStyle w:val="25"/>
      </w:pPr>
      <w:r>
        <w:rPr>
          <w:rFonts w:hint="eastAsia"/>
        </w:rPr>
        <w:t>简称飞检，是跟踪检查的一种形式，指事先不通知被检查单位实施的现场检查，是提高检查有效性的重要手段。</w:t>
      </w:r>
    </w:p>
    <w:p w14:paraId="7A5A5DB8">
      <w:pPr>
        <w:pStyle w:val="42"/>
        <w:spacing w:before="156" w:after="156"/>
        <w:ind w:left="0"/>
        <w:outlineLvl w:val="9"/>
        <w:rPr>
          <w:color w:val="000000"/>
        </w:rPr>
      </w:pPr>
    </w:p>
    <w:p w14:paraId="205463D4">
      <w:pPr>
        <w:pStyle w:val="42"/>
        <w:numPr>
          <w:ilvl w:val="0"/>
          <w:numId w:val="0"/>
        </w:numPr>
        <w:spacing w:before="156" w:after="156"/>
        <w:ind w:firstLine="420" w:firstLineChars="200"/>
        <w:outlineLvl w:val="9"/>
        <w:rPr>
          <w:color w:val="000000"/>
        </w:rPr>
      </w:pPr>
      <w:r>
        <w:rPr>
          <w:rFonts w:hint="eastAsia"/>
        </w:rPr>
        <w:t>抽检批</w:t>
      </w:r>
      <w:r>
        <w:rPr>
          <w:rFonts w:hint="eastAsia"/>
          <w:color w:val="000000"/>
        </w:rPr>
        <w:t>（</w:t>
      </w:r>
      <w:r>
        <w:t>Sampling batch</w:t>
      </w:r>
      <w:r>
        <w:rPr>
          <w:rFonts w:hint="eastAsia"/>
          <w:color w:val="000000"/>
        </w:rPr>
        <w:t>）</w:t>
      </w:r>
    </w:p>
    <w:p w14:paraId="66399085">
      <w:pPr>
        <w:pStyle w:val="25"/>
        <w:rPr>
          <w:color w:val="000000"/>
        </w:rPr>
      </w:pPr>
      <w:r>
        <w:rPr>
          <w:rFonts w:hint="eastAsia"/>
          <w:color w:val="000000"/>
        </w:rPr>
        <w:t>按标准进行抽检的批次产品，样品抽检结果仅与相对应的抽检批次相关。</w:t>
      </w:r>
    </w:p>
    <w:p w14:paraId="096B5120">
      <w:pPr>
        <w:pStyle w:val="45"/>
        <w:spacing w:before="312" w:after="312"/>
        <w:ind w:left="0"/>
        <w:outlineLvl w:val="0"/>
      </w:pPr>
      <w:bookmarkStart w:id="37" w:name="_Toc102557401"/>
      <w:r>
        <w:rPr>
          <w:rFonts w:hint="eastAsia"/>
        </w:rPr>
        <w:t>配网设备质量数据采集</w:t>
      </w:r>
      <w:bookmarkEnd w:id="37"/>
    </w:p>
    <w:p w14:paraId="7513E1E8">
      <w:pPr>
        <w:pStyle w:val="42"/>
        <w:spacing w:before="156" w:after="156"/>
        <w:ind w:left="0"/>
        <w:outlineLvl w:val="9"/>
      </w:pPr>
      <w:r>
        <w:rPr>
          <w:rFonts w:hint="eastAsia"/>
        </w:rPr>
        <w:t>数据来源</w:t>
      </w:r>
    </w:p>
    <w:p w14:paraId="63C27803">
      <w:pPr>
        <w:pStyle w:val="25"/>
        <w:spacing w:before="156" w:beforeLines="50" w:after="156" w:afterLines="50"/>
        <w:ind w:firstLine="0" w:firstLineChars="0"/>
        <w:rPr>
          <w:rFonts w:ascii="黑体" w:hAnsi="黑体" w:eastAsia="黑体"/>
        </w:rPr>
      </w:pPr>
      <w:r>
        <w:rPr>
          <w:rFonts w:hint="eastAsia" w:ascii="黑体" w:hAnsi="黑体" w:eastAsia="黑体"/>
        </w:rPr>
        <w:t>4</w:t>
      </w:r>
      <w:r>
        <w:rPr>
          <w:rFonts w:ascii="黑体" w:hAnsi="黑体" w:eastAsia="黑体"/>
        </w:rPr>
        <w:t xml:space="preserve">.1.1 </w:t>
      </w:r>
      <w:r>
        <w:rPr>
          <w:rFonts w:hint="eastAsia" w:ascii="黑体" w:hAnsi="黑体" w:eastAsia="黑体"/>
        </w:rPr>
        <w:t>生产制造过程</w:t>
      </w:r>
    </w:p>
    <w:p w14:paraId="36830141">
      <w:pPr>
        <w:pStyle w:val="25"/>
      </w:pPr>
      <w:r>
        <w:rPr>
          <w:rFonts w:hint="eastAsia"/>
        </w:rPr>
        <w:t>设备生产制造过程数据包含供应商原材料和部件检验、关键工序检验和出厂试验三部分的数据。</w:t>
      </w:r>
    </w:p>
    <w:p w14:paraId="2E8241C8">
      <w:pPr>
        <w:pStyle w:val="25"/>
        <w:spacing w:before="156" w:beforeLines="50" w:after="156" w:afterLines="50"/>
        <w:ind w:firstLine="0" w:firstLineChars="0"/>
        <w:rPr>
          <w:rFonts w:ascii="黑体" w:hAnsi="黑体" w:eastAsia="黑体"/>
        </w:rPr>
      </w:pPr>
      <w:r>
        <w:rPr>
          <w:rFonts w:hint="eastAsia" w:ascii="黑体" w:hAnsi="黑体" w:eastAsia="黑体"/>
        </w:rPr>
        <w:t>4</w:t>
      </w:r>
      <w:r>
        <w:rPr>
          <w:rFonts w:ascii="黑体" w:hAnsi="黑体" w:eastAsia="黑体"/>
        </w:rPr>
        <w:t xml:space="preserve">.1.2 </w:t>
      </w:r>
      <w:r>
        <w:rPr>
          <w:rFonts w:hint="eastAsia" w:ascii="黑体" w:hAnsi="黑体" w:eastAsia="黑体"/>
        </w:rPr>
        <w:t>设备抽检</w:t>
      </w:r>
    </w:p>
    <w:p w14:paraId="5622726B">
      <w:pPr>
        <w:pStyle w:val="25"/>
      </w:pPr>
      <w:r>
        <w:rPr>
          <w:rFonts w:hint="eastAsia"/>
        </w:rPr>
        <w:t>对设备到货抽检数据进行整理、汇总，形成与设备到货抽检相关的数据。包括：抽检结果和项目缺陷。</w:t>
      </w:r>
    </w:p>
    <w:p w14:paraId="0C6A4A68">
      <w:pPr>
        <w:pStyle w:val="25"/>
        <w:spacing w:before="156" w:beforeLines="50" w:after="156" w:afterLines="50"/>
        <w:ind w:firstLine="0" w:firstLineChars="0"/>
        <w:rPr>
          <w:rFonts w:ascii="黑体" w:hAnsi="黑体" w:eastAsia="黑体"/>
        </w:rPr>
      </w:pPr>
      <w:r>
        <w:rPr>
          <w:rFonts w:hint="eastAsia" w:ascii="黑体" w:hAnsi="黑体" w:eastAsia="黑体"/>
        </w:rPr>
        <w:t>4</w:t>
      </w:r>
      <w:r>
        <w:rPr>
          <w:rFonts w:ascii="黑体" w:hAnsi="黑体" w:eastAsia="黑体"/>
        </w:rPr>
        <w:t>.1.3</w:t>
      </w:r>
      <w:r>
        <w:rPr>
          <w:rFonts w:hint="eastAsia" w:ascii="黑体" w:hAnsi="黑体" w:eastAsia="黑体"/>
        </w:rPr>
        <w:t>设备运行</w:t>
      </w:r>
    </w:p>
    <w:p w14:paraId="3900C691">
      <w:pPr>
        <w:pStyle w:val="25"/>
        <w:spacing w:before="156" w:beforeLines="50" w:after="156" w:afterLines="50"/>
      </w:pPr>
      <w:r>
        <w:rPr>
          <w:rFonts w:hint="eastAsia"/>
        </w:rPr>
        <w:t>通过对设备运行状态进行评价的数据。包括：故障情况、紧急重大缺陷情况和一般缺陷情况。</w:t>
      </w:r>
    </w:p>
    <w:p w14:paraId="6DCE6943">
      <w:pPr>
        <w:pStyle w:val="25"/>
        <w:spacing w:before="156" w:beforeLines="50" w:after="156" w:afterLines="50"/>
        <w:ind w:firstLine="0" w:firstLineChars="0"/>
        <w:outlineLvl w:val="9"/>
        <w:rPr>
          <w:rFonts w:ascii="黑体" w:hAnsi="黑体" w:eastAsia="黑体"/>
        </w:rPr>
      </w:pPr>
      <w:r>
        <w:rPr>
          <w:rFonts w:hint="eastAsia" w:ascii="黑体" w:hAnsi="黑体" w:eastAsia="黑体"/>
        </w:rPr>
        <w:t>4</w:t>
      </w:r>
      <w:r>
        <w:rPr>
          <w:rFonts w:ascii="黑体" w:hAnsi="黑体" w:eastAsia="黑体"/>
        </w:rPr>
        <w:t xml:space="preserve">.1.4 </w:t>
      </w:r>
      <w:r>
        <w:rPr>
          <w:rFonts w:hint="eastAsia" w:ascii="黑体" w:hAnsi="黑体" w:eastAsia="黑体"/>
        </w:rPr>
        <w:t>基建安装</w:t>
      </w:r>
    </w:p>
    <w:p w14:paraId="22A91F36">
      <w:pPr>
        <w:pStyle w:val="25"/>
      </w:pPr>
      <w:r>
        <w:rPr>
          <w:rFonts w:hint="eastAsia"/>
        </w:rPr>
        <w:t>基建安装过程采集的安装验收数据。包括：验收和安装过程。</w:t>
      </w:r>
    </w:p>
    <w:p w14:paraId="3AA10124">
      <w:pPr>
        <w:pStyle w:val="25"/>
        <w:spacing w:before="156" w:beforeLines="50" w:after="156" w:afterLines="50"/>
        <w:ind w:firstLine="0" w:firstLineChars="0"/>
        <w:rPr>
          <w:rFonts w:ascii="黑体" w:hAnsi="黑体" w:eastAsia="黑体"/>
        </w:rPr>
      </w:pPr>
      <w:r>
        <w:rPr>
          <w:rFonts w:hint="eastAsia" w:ascii="黑体" w:hAnsi="黑体" w:eastAsia="黑体"/>
        </w:rPr>
        <w:t>4</w:t>
      </w:r>
      <w:r>
        <w:rPr>
          <w:rFonts w:ascii="黑体" w:hAnsi="黑体" w:eastAsia="黑体"/>
        </w:rPr>
        <w:t xml:space="preserve">.1.5 </w:t>
      </w:r>
      <w:r>
        <w:rPr>
          <w:rFonts w:hint="eastAsia" w:ascii="黑体" w:hAnsi="黑体" w:eastAsia="黑体"/>
        </w:rPr>
        <w:t>供应商资质能力评价</w:t>
      </w:r>
    </w:p>
    <w:p w14:paraId="4DB58969">
      <w:pPr>
        <w:pStyle w:val="25"/>
      </w:pPr>
      <w:r>
        <w:rPr>
          <w:rFonts w:hint="eastAsia"/>
        </w:rPr>
        <w:t>供应商的资质能力评价，其中涉及到技术、生产与质量管理三个部分，其中：</w:t>
      </w:r>
    </w:p>
    <w:p w14:paraId="486557FC">
      <w:pPr>
        <w:pStyle w:val="25"/>
      </w:pPr>
      <w:r>
        <w:t>1</w:t>
      </w:r>
      <w:r>
        <w:rPr>
          <w:rFonts w:hint="eastAsia"/>
        </w:rPr>
        <w:t>）技术能力包括：技术人员、研发及工程设计和型式试验报告等。</w:t>
      </w:r>
    </w:p>
    <w:p w14:paraId="72ED4C64">
      <w:pPr>
        <w:pStyle w:val="25"/>
      </w:pPr>
      <w:r>
        <w:t>2</w:t>
      </w:r>
      <w:r>
        <w:rPr>
          <w:rFonts w:hint="eastAsia"/>
        </w:rPr>
        <w:t>）生产能力包括：工艺要求及控制和工装设备水平等。</w:t>
      </w:r>
    </w:p>
    <w:p w14:paraId="14987D1C">
      <w:pPr>
        <w:pStyle w:val="25"/>
      </w:pPr>
      <w:r>
        <w:rPr>
          <w:rFonts w:hint="eastAsia"/>
        </w:rPr>
        <w:t>3）质量管理能力包括：质量管理体系、主要检验设备和检验管理等。</w:t>
      </w:r>
    </w:p>
    <w:p w14:paraId="037ADF02">
      <w:pPr>
        <w:pStyle w:val="42"/>
        <w:spacing w:before="156" w:after="156"/>
        <w:ind w:left="0"/>
        <w:outlineLvl w:val="9"/>
      </w:pPr>
      <w:bookmarkStart w:id="38" w:name="_Hlk88118692"/>
      <w:r>
        <w:rPr>
          <w:rFonts w:hint="eastAsia"/>
        </w:rPr>
        <w:t>全生命周期质量数据</w:t>
      </w:r>
    </w:p>
    <w:bookmarkEnd w:id="38"/>
    <w:p w14:paraId="1BC9F5F1">
      <w:pPr>
        <w:pStyle w:val="25"/>
        <w:spacing w:before="156" w:beforeLines="50" w:after="156" w:afterLines="50"/>
        <w:ind w:firstLine="0" w:firstLineChars="0"/>
        <w:outlineLvl w:val="9"/>
        <w:rPr>
          <w:rFonts w:ascii="黑体" w:hAnsi="黑体" w:eastAsia="黑体"/>
        </w:rPr>
      </w:pPr>
      <w:bookmarkStart w:id="39" w:name="_Hlk88076864"/>
      <w:r>
        <w:rPr>
          <w:rFonts w:hint="eastAsia" w:ascii="黑体" w:hAnsi="黑体" w:eastAsia="黑体"/>
        </w:rPr>
        <w:t>4</w:t>
      </w:r>
      <w:r>
        <w:rPr>
          <w:rFonts w:ascii="黑体" w:hAnsi="黑体" w:eastAsia="黑体"/>
        </w:rPr>
        <w:t xml:space="preserve">.2.1 </w:t>
      </w:r>
      <w:bookmarkStart w:id="40" w:name="_Hlk88127517"/>
      <w:r>
        <w:rPr>
          <w:rFonts w:hint="eastAsia" w:ascii="黑体" w:hAnsi="黑体" w:eastAsia="黑体"/>
        </w:rPr>
        <w:t>配网设备全生命周期质量数据</w:t>
      </w:r>
      <w:bookmarkEnd w:id="40"/>
    </w:p>
    <w:p w14:paraId="2DECEA74">
      <w:pPr>
        <w:pStyle w:val="25"/>
      </w:pPr>
      <w:bookmarkStart w:id="41" w:name="_Hlk88127437"/>
      <w:r>
        <w:rPr>
          <w:rFonts w:hint="eastAsia"/>
        </w:rPr>
        <w:t>配网设备全生命周期质量数据</w:t>
      </w:r>
      <w:bookmarkEnd w:id="41"/>
      <w:r>
        <w:rPr>
          <w:rFonts w:hint="eastAsia"/>
        </w:rPr>
        <w:t>覆盖设备全生命周期过程，本文件按4</w:t>
      </w:r>
      <w:r>
        <w:t>.1</w:t>
      </w:r>
      <w:r>
        <w:rPr>
          <w:rFonts w:hint="eastAsia"/>
        </w:rPr>
        <w:t>数据来源对以下五个维度的数据进行采集应用：</w:t>
      </w:r>
    </w:p>
    <w:bookmarkEnd w:id="39"/>
    <w:p w14:paraId="74EB3E0D">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表</w:t>
      </w:r>
      <w:r>
        <w:rPr>
          <w:rFonts w:ascii="黑体" w:hAnsi="黑体" w:eastAsia="黑体"/>
          <w:sz w:val="21"/>
          <w:szCs w:val="21"/>
        </w:rPr>
        <w:t>1. 设备全生命周期质量数据表</w:t>
      </w:r>
    </w:p>
    <w:tbl>
      <w:tblPr>
        <w:tblStyle w:val="35"/>
        <w:tblW w:w="887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567"/>
        <w:gridCol w:w="2341"/>
        <w:gridCol w:w="4714"/>
        <w:gridCol w:w="1257"/>
        <w:tblGridChange w:id="0">
          <w:tblGrid>
            <w:gridCol w:w="567"/>
            <w:gridCol w:w="2341"/>
            <w:gridCol w:w="4714"/>
            <w:gridCol w:w="1257"/>
          </w:tblGrid>
        </w:tblGridChange>
      </w:tblGrid>
      <w:tr w14:paraId="723BA75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567" w:type="dxa"/>
            <w:shd w:val="clear" w:color="auto" w:fill="auto"/>
            <w:vAlign w:val="center"/>
          </w:tcPr>
          <w:p w14:paraId="7FB877B9">
            <w:pPr>
              <w:pStyle w:val="25"/>
              <w:spacing w:line="240" w:lineRule="atLeast"/>
              <w:ind w:firstLine="0" w:firstLineChars="0"/>
              <w:jc w:val="center"/>
              <w:rPr>
                <w:rFonts w:ascii="黑体" w:hAnsi="黑体" w:eastAsia="黑体"/>
                <w:sz w:val="18"/>
                <w:szCs w:val="18"/>
              </w:rPr>
            </w:pPr>
            <w:r>
              <w:rPr>
                <w:rFonts w:hint="eastAsia" w:hAnsi="宋体" w:cs="宋体"/>
                <w:color w:val="000000"/>
                <w:sz w:val="16"/>
                <w:szCs w:val="16"/>
              </w:rPr>
              <w:t>序号</w:t>
            </w:r>
          </w:p>
        </w:tc>
        <w:tc>
          <w:tcPr>
            <w:tcW w:w="2341" w:type="dxa"/>
            <w:shd w:val="clear" w:color="auto" w:fill="auto"/>
            <w:vAlign w:val="center"/>
          </w:tcPr>
          <w:p w14:paraId="62D5EFE9">
            <w:pPr>
              <w:pStyle w:val="25"/>
              <w:spacing w:line="240" w:lineRule="atLeast"/>
              <w:ind w:firstLine="0" w:firstLineChars="0"/>
              <w:jc w:val="center"/>
              <w:rPr>
                <w:rFonts w:ascii="黑体" w:hAnsi="黑体" w:eastAsia="黑体"/>
                <w:sz w:val="18"/>
                <w:szCs w:val="18"/>
              </w:rPr>
            </w:pPr>
            <w:r>
              <w:rPr>
                <w:rFonts w:hint="eastAsia" w:hAnsi="宋体" w:cs="宋体"/>
                <w:color w:val="000000"/>
                <w:sz w:val="16"/>
                <w:szCs w:val="16"/>
              </w:rPr>
              <w:t>数据来源</w:t>
            </w:r>
          </w:p>
        </w:tc>
        <w:tc>
          <w:tcPr>
            <w:tcW w:w="4714" w:type="dxa"/>
            <w:shd w:val="clear" w:color="auto" w:fill="auto"/>
            <w:vAlign w:val="center"/>
          </w:tcPr>
          <w:p w14:paraId="4461B9A7">
            <w:pPr>
              <w:pStyle w:val="25"/>
              <w:spacing w:line="240" w:lineRule="atLeast"/>
              <w:ind w:firstLine="0" w:firstLineChars="0"/>
              <w:jc w:val="center"/>
              <w:rPr>
                <w:rFonts w:ascii="黑体" w:hAnsi="黑体" w:eastAsia="黑体"/>
                <w:sz w:val="18"/>
                <w:szCs w:val="18"/>
              </w:rPr>
            </w:pPr>
            <w:r>
              <w:rPr>
                <w:rFonts w:hint="eastAsia" w:hAnsi="宋体" w:cs="宋体"/>
                <w:color w:val="000000"/>
                <w:sz w:val="16"/>
                <w:szCs w:val="16"/>
              </w:rPr>
              <w:t>数据明细</w:t>
            </w:r>
          </w:p>
        </w:tc>
        <w:tc>
          <w:tcPr>
            <w:tcW w:w="1257" w:type="dxa"/>
            <w:shd w:val="clear" w:color="auto" w:fill="auto"/>
            <w:vAlign w:val="center"/>
          </w:tcPr>
          <w:p w14:paraId="741C06BE">
            <w:pPr>
              <w:pStyle w:val="25"/>
              <w:spacing w:line="240" w:lineRule="atLeast"/>
              <w:ind w:firstLine="0" w:firstLineChars="0"/>
              <w:jc w:val="center"/>
              <w:rPr>
                <w:rFonts w:ascii="黑体" w:hAnsi="黑体" w:eastAsia="黑体"/>
                <w:sz w:val="18"/>
                <w:szCs w:val="18"/>
              </w:rPr>
            </w:pPr>
            <w:r>
              <w:rPr>
                <w:rFonts w:hint="eastAsia" w:hAnsi="宋体" w:cs="宋体"/>
                <w:color w:val="000000"/>
                <w:sz w:val="16"/>
                <w:szCs w:val="16"/>
              </w:rPr>
              <w:t>数据分值（</w:t>
            </w:r>
            <w:r>
              <w:rPr>
                <w:rFonts w:hAnsi="宋体" w:cs="宋体"/>
                <w:color w:val="000000"/>
                <w:sz w:val="16"/>
                <w:szCs w:val="16"/>
              </w:rPr>
              <w:t>X</w:t>
            </w:r>
            <w:r>
              <w:rPr>
                <w:rFonts w:hAnsi="宋体" w:cs="宋体"/>
                <w:color w:val="000000"/>
                <w:sz w:val="16"/>
                <w:szCs w:val="16"/>
                <w:vertAlign w:val="subscript"/>
              </w:rPr>
              <w:t>i</w:t>
            </w:r>
            <w:r>
              <w:rPr>
                <w:rFonts w:hint="eastAsia" w:hAnsi="宋体" w:cs="宋体"/>
                <w:color w:val="000000"/>
                <w:sz w:val="16"/>
                <w:szCs w:val="16"/>
              </w:rPr>
              <w:t>）</w:t>
            </w:r>
          </w:p>
        </w:tc>
      </w:tr>
      <w:tr w14:paraId="59D074F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shd w:val="clear" w:color="auto" w:fill="auto"/>
            <w:vAlign w:val="center"/>
          </w:tcPr>
          <w:p w14:paraId="7590ED8E">
            <w:pPr>
              <w:pStyle w:val="25"/>
              <w:spacing w:line="240" w:lineRule="atLeast"/>
              <w:ind w:firstLine="0" w:firstLineChars="0"/>
              <w:jc w:val="center"/>
              <w:rPr>
                <w:rFonts w:hAnsi="宋体" w:cs="宋体"/>
                <w:color w:val="000000"/>
                <w:sz w:val="16"/>
                <w:szCs w:val="16"/>
              </w:rPr>
            </w:pPr>
            <w:r>
              <w:rPr>
                <w:rFonts w:hint="eastAsia" w:hAnsi="宋体" w:cs="宋体"/>
                <w:color w:val="000000"/>
                <w:sz w:val="16"/>
                <w:szCs w:val="16"/>
              </w:rPr>
              <w:t>1</w:t>
            </w:r>
          </w:p>
        </w:tc>
        <w:tc>
          <w:tcPr>
            <w:tcW w:w="2341" w:type="dxa"/>
            <w:shd w:val="clear" w:color="auto" w:fill="auto"/>
            <w:vAlign w:val="center"/>
          </w:tcPr>
          <w:p w14:paraId="53F65F24">
            <w:pPr>
              <w:pStyle w:val="25"/>
              <w:spacing w:line="240" w:lineRule="atLeast"/>
              <w:ind w:firstLine="0" w:firstLineChars="0"/>
              <w:jc w:val="center"/>
              <w:rPr>
                <w:rFonts w:hAnsi="宋体" w:cs="宋体"/>
                <w:color w:val="000000"/>
                <w:sz w:val="16"/>
                <w:szCs w:val="16"/>
              </w:rPr>
            </w:pPr>
            <w:bookmarkStart w:id="42" w:name="_Hlk89166836"/>
            <w:r>
              <w:rPr>
                <w:rFonts w:hint="eastAsia" w:hAnsi="宋体" w:cs="宋体"/>
                <w:color w:val="000000"/>
                <w:sz w:val="16"/>
                <w:szCs w:val="16"/>
              </w:rPr>
              <w:t>D</w:t>
            </w:r>
            <w:r>
              <w:rPr>
                <w:rFonts w:hAnsi="宋体" w:cs="宋体"/>
                <w:color w:val="000000"/>
                <w:sz w:val="16"/>
                <w:szCs w:val="16"/>
                <w:vertAlign w:val="subscript"/>
              </w:rPr>
              <w:t>1</w:t>
            </w:r>
            <w:r>
              <w:rPr>
                <w:rFonts w:hAnsi="宋体" w:cs="宋体"/>
                <w:color w:val="000000"/>
                <w:sz w:val="16"/>
                <w:szCs w:val="16"/>
              </w:rPr>
              <w:t>-</w:t>
            </w:r>
            <w:r>
              <w:rPr>
                <w:rFonts w:hint="eastAsia" w:hAnsi="宋体" w:cs="宋体"/>
                <w:color w:val="000000"/>
                <w:sz w:val="16"/>
                <w:szCs w:val="16"/>
              </w:rPr>
              <w:t>生产制造</w:t>
            </w:r>
            <w:bookmarkEnd w:id="42"/>
          </w:p>
        </w:tc>
        <w:tc>
          <w:tcPr>
            <w:tcW w:w="4714" w:type="dxa"/>
            <w:shd w:val="clear" w:color="auto" w:fill="auto"/>
            <w:vAlign w:val="center"/>
          </w:tcPr>
          <w:p w14:paraId="2DACB9FA">
            <w:pPr>
              <w:pStyle w:val="25"/>
              <w:spacing w:line="240" w:lineRule="atLeast"/>
              <w:ind w:firstLine="0" w:firstLineChars="0"/>
              <w:jc w:val="center"/>
              <w:rPr>
                <w:rFonts w:hAnsi="宋体" w:cs="宋体"/>
                <w:b/>
                <w:bCs/>
                <w:color w:val="000000"/>
                <w:sz w:val="16"/>
                <w:szCs w:val="16"/>
              </w:rPr>
            </w:pPr>
            <w:r>
              <w:rPr>
                <w:rFonts w:hint="eastAsia" w:hAnsi="宋体" w:cs="宋体"/>
                <w:color w:val="000000"/>
                <w:sz w:val="16"/>
                <w:szCs w:val="16"/>
              </w:rPr>
              <w:t>供应商生产制造过程产生的质量数据，包括：供应商质量管控、原材料和部件检验、关键工序检验和出厂试验</w:t>
            </w:r>
          </w:p>
        </w:tc>
        <w:tc>
          <w:tcPr>
            <w:tcW w:w="1257" w:type="dxa"/>
            <w:shd w:val="clear" w:color="auto" w:fill="auto"/>
            <w:vAlign w:val="center"/>
          </w:tcPr>
          <w:p w14:paraId="566773C0">
            <w:pPr>
              <w:pStyle w:val="25"/>
              <w:spacing w:line="240" w:lineRule="exact"/>
              <w:ind w:firstLine="0" w:firstLineChars="0"/>
              <w:jc w:val="center"/>
              <w:rPr>
                <w:rFonts w:ascii="Gabriola" w:hAnsi="Gabriola" w:cs="宋体"/>
                <w:b/>
                <w:bCs/>
                <w:color w:val="000000"/>
                <w:sz w:val="20"/>
                <w:szCs w:val="20"/>
              </w:rPr>
            </w:pPr>
            <w:bookmarkStart w:id="43" w:name="_Hlk89766317"/>
            <w:r>
              <w:rPr>
                <w:rFonts w:ascii="Gabriola" w:hAnsi="Gabriola"/>
                <w:sz w:val="24"/>
                <w:szCs w:val="24"/>
              </w:rPr>
              <w:t>X</w:t>
            </w:r>
            <w:r>
              <w:rPr>
                <w:rFonts w:asciiTheme="majorEastAsia" w:hAnsiTheme="majorEastAsia" w:eastAsiaTheme="majorEastAsia"/>
                <w:sz w:val="24"/>
                <w:szCs w:val="24"/>
                <w:vertAlign w:val="subscript"/>
              </w:rPr>
              <w:t>1</w:t>
            </w:r>
            <w:bookmarkEnd w:id="43"/>
          </w:p>
        </w:tc>
      </w:tr>
      <w:tr w14:paraId="6CF600D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567" w:type="dxa"/>
            <w:shd w:val="clear" w:color="auto" w:fill="auto"/>
            <w:vAlign w:val="center"/>
          </w:tcPr>
          <w:p w14:paraId="2D2467B3">
            <w:pPr>
              <w:pStyle w:val="25"/>
              <w:spacing w:line="240" w:lineRule="atLeast"/>
              <w:ind w:firstLine="0" w:firstLineChars="0"/>
              <w:jc w:val="center"/>
              <w:rPr>
                <w:rFonts w:ascii="黑体" w:hAnsi="黑体" w:eastAsia="黑体"/>
                <w:sz w:val="18"/>
                <w:szCs w:val="18"/>
              </w:rPr>
            </w:pPr>
            <w:r>
              <w:rPr>
                <w:rFonts w:ascii="等线" w:hAnsi="等线" w:eastAsia="等线" w:cs="宋体"/>
                <w:color w:val="000000"/>
                <w:sz w:val="16"/>
                <w:szCs w:val="16"/>
              </w:rPr>
              <w:t>2</w:t>
            </w:r>
          </w:p>
        </w:tc>
        <w:tc>
          <w:tcPr>
            <w:tcW w:w="2341" w:type="dxa"/>
            <w:shd w:val="clear" w:color="auto" w:fill="auto"/>
            <w:vAlign w:val="center"/>
          </w:tcPr>
          <w:p w14:paraId="68AAFF70">
            <w:pPr>
              <w:pStyle w:val="25"/>
              <w:spacing w:line="240" w:lineRule="atLeast"/>
              <w:ind w:firstLine="0" w:firstLineChars="0"/>
              <w:jc w:val="center"/>
              <w:rPr>
                <w:rFonts w:ascii="黑体" w:hAnsi="黑体" w:eastAsia="黑体"/>
                <w:sz w:val="18"/>
                <w:szCs w:val="18"/>
              </w:rPr>
            </w:pPr>
            <w:bookmarkStart w:id="44" w:name="_Hlk89763552"/>
            <w:r>
              <w:rPr>
                <w:rFonts w:hint="eastAsia" w:hAnsi="宋体" w:cs="宋体"/>
                <w:color w:val="000000"/>
                <w:sz w:val="16"/>
                <w:szCs w:val="16"/>
              </w:rPr>
              <w:t>D</w:t>
            </w:r>
            <w:r>
              <w:rPr>
                <w:rFonts w:hAnsi="宋体" w:cs="宋体"/>
                <w:color w:val="000000"/>
                <w:sz w:val="16"/>
                <w:szCs w:val="16"/>
                <w:vertAlign w:val="subscript"/>
              </w:rPr>
              <w:t>2</w:t>
            </w:r>
            <w:r>
              <w:rPr>
                <w:rFonts w:hAnsi="宋体" w:cs="宋体"/>
                <w:color w:val="000000"/>
                <w:sz w:val="16"/>
                <w:szCs w:val="16"/>
              </w:rPr>
              <w:t>-</w:t>
            </w:r>
            <w:r>
              <w:rPr>
                <w:rFonts w:hint="eastAsia" w:hAnsi="宋体" w:cs="宋体"/>
                <w:color w:val="000000"/>
                <w:sz w:val="16"/>
                <w:szCs w:val="16"/>
              </w:rPr>
              <w:t>设备抽检</w:t>
            </w:r>
            <w:bookmarkEnd w:id="44"/>
          </w:p>
        </w:tc>
        <w:tc>
          <w:tcPr>
            <w:tcW w:w="4714" w:type="dxa"/>
            <w:shd w:val="clear" w:color="auto" w:fill="auto"/>
            <w:vAlign w:val="center"/>
          </w:tcPr>
          <w:p w14:paraId="03165B7C">
            <w:pPr>
              <w:pStyle w:val="25"/>
              <w:spacing w:line="240" w:lineRule="atLeast"/>
              <w:ind w:firstLine="0" w:firstLineChars="0"/>
              <w:jc w:val="center"/>
              <w:rPr>
                <w:rFonts w:ascii="黑体" w:hAnsi="黑体" w:eastAsia="黑体"/>
                <w:sz w:val="18"/>
                <w:szCs w:val="18"/>
              </w:rPr>
            </w:pPr>
            <w:r>
              <w:rPr>
                <w:rFonts w:hint="eastAsia" w:hAnsi="宋体" w:cs="宋体"/>
                <w:color w:val="000000"/>
                <w:sz w:val="16"/>
                <w:szCs w:val="16"/>
              </w:rPr>
              <w:t>设备年度到货抽检数据，包括：合格率、项目缺陷、缺陷处理</w:t>
            </w:r>
          </w:p>
        </w:tc>
        <w:tc>
          <w:tcPr>
            <w:tcW w:w="1257" w:type="dxa"/>
            <w:vAlign w:val="center"/>
          </w:tcPr>
          <w:p w14:paraId="0BC057D3">
            <w:pPr>
              <w:pStyle w:val="25"/>
              <w:spacing w:line="240" w:lineRule="exact"/>
              <w:ind w:firstLine="0" w:firstLineChars="0"/>
              <w:jc w:val="center"/>
              <w:rPr>
                <w:rFonts w:ascii="Gabriola" w:hAnsi="Gabriola"/>
                <w:sz w:val="36"/>
                <w:szCs w:val="36"/>
              </w:rPr>
            </w:pPr>
            <w:r>
              <w:rPr>
                <w:rFonts w:ascii="Gabriola" w:hAnsi="Gabriola"/>
                <w:sz w:val="24"/>
                <w:szCs w:val="24"/>
              </w:rPr>
              <w:t>X</w:t>
            </w:r>
            <w:r>
              <w:rPr>
                <w:rFonts w:asciiTheme="majorEastAsia" w:hAnsiTheme="majorEastAsia" w:eastAsiaTheme="majorEastAsia"/>
                <w:sz w:val="24"/>
                <w:szCs w:val="24"/>
                <w:vertAlign w:val="subscript"/>
              </w:rPr>
              <w:t>2</w:t>
            </w:r>
          </w:p>
        </w:tc>
      </w:tr>
      <w:tr w14:paraId="6D13A2A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567" w:type="dxa"/>
            <w:vAlign w:val="center"/>
          </w:tcPr>
          <w:p w14:paraId="348AF1A4">
            <w:pPr>
              <w:pStyle w:val="25"/>
              <w:spacing w:line="240" w:lineRule="atLeast"/>
              <w:ind w:firstLine="0" w:firstLineChars="0"/>
              <w:jc w:val="center"/>
              <w:rPr>
                <w:rFonts w:ascii="黑体" w:hAnsi="黑体" w:eastAsia="黑体"/>
                <w:sz w:val="18"/>
                <w:szCs w:val="18"/>
              </w:rPr>
            </w:pPr>
            <w:r>
              <w:rPr>
                <w:rFonts w:ascii="黑体" w:hAnsi="黑体" w:eastAsia="黑体"/>
                <w:sz w:val="18"/>
                <w:szCs w:val="18"/>
              </w:rPr>
              <w:t>3</w:t>
            </w:r>
          </w:p>
        </w:tc>
        <w:tc>
          <w:tcPr>
            <w:tcW w:w="2341" w:type="dxa"/>
            <w:vAlign w:val="center"/>
          </w:tcPr>
          <w:p w14:paraId="5164FE76">
            <w:pPr>
              <w:pStyle w:val="25"/>
              <w:spacing w:line="240" w:lineRule="atLeast"/>
              <w:ind w:firstLine="0" w:firstLineChars="0"/>
              <w:jc w:val="center"/>
              <w:rPr>
                <w:rFonts w:ascii="黑体" w:hAnsi="黑体" w:eastAsia="黑体"/>
                <w:sz w:val="18"/>
                <w:szCs w:val="18"/>
              </w:rPr>
            </w:pPr>
            <w:bookmarkStart w:id="45" w:name="_Hlk89166896"/>
            <w:r>
              <w:rPr>
                <w:rFonts w:hint="eastAsia" w:hAnsi="宋体" w:cs="宋体"/>
                <w:color w:val="000000"/>
                <w:sz w:val="16"/>
                <w:szCs w:val="16"/>
              </w:rPr>
              <w:t>D</w:t>
            </w:r>
            <w:r>
              <w:rPr>
                <w:rFonts w:hAnsi="宋体" w:cs="宋体"/>
                <w:color w:val="000000"/>
                <w:sz w:val="16"/>
                <w:szCs w:val="16"/>
                <w:vertAlign w:val="subscript"/>
              </w:rPr>
              <w:t>3</w:t>
            </w:r>
            <w:r>
              <w:rPr>
                <w:rFonts w:hAnsi="宋体" w:cs="宋体"/>
                <w:color w:val="000000"/>
                <w:sz w:val="16"/>
                <w:szCs w:val="16"/>
              </w:rPr>
              <w:t>-</w:t>
            </w:r>
            <w:r>
              <w:rPr>
                <w:rFonts w:hint="eastAsia" w:hAnsi="宋体" w:cs="宋体"/>
                <w:color w:val="000000"/>
                <w:sz w:val="16"/>
                <w:szCs w:val="16"/>
              </w:rPr>
              <w:t>设备运行</w:t>
            </w:r>
            <w:bookmarkEnd w:id="45"/>
          </w:p>
        </w:tc>
        <w:tc>
          <w:tcPr>
            <w:tcW w:w="4714" w:type="dxa"/>
            <w:shd w:val="clear" w:color="auto" w:fill="auto"/>
            <w:vAlign w:val="center"/>
          </w:tcPr>
          <w:p w14:paraId="2A82E590">
            <w:pPr>
              <w:widowControl/>
              <w:spacing w:line="240" w:lineRule="atLeast"/>
              <w:jc w:val="left"/>
              <w:rPr>
                <w:rFonts w:ascii="宋体" w:hAnsi="宋体" w:cs="宋体"/>
                <w:color w:val="000000"/>
                <w:kern w:val="0"/>
                <w:sz w:val="16"/>
                <w:szCs w:val="16"/>
              </w:rPr>
            </w:pPr>
            <w:r>
              <w:rPr>
                <w:rFonts w:hint="eastAsia" w:ascii="宋体" w:hAnsi="宋体" w:cs="宋体"/>
                <w:color w:val="000000"/>
                <w:sz w:val="16"/>
                <w:szCs w:val="16"/>
              </w:rPr>
              <w:t>设备运行过程评价结果，包括故障率、缺陷率和非正常退役情况</w:t>
            </w:r>
          </w:p>
        </w:tc>
        <w:tc>
          <w:tcPr>
            <w:tcW w:w="1257" w:type="dxa"/>
            <w:vAlign w:val="center"/>
          </w:tcPr>
          <w:p w14:paraId="7AAD7FFA">
            <w:pPr>
              <w:pStyle w:val="25"/>
              <w:spacing w:line="240" w:lineRule="exact"/>
              <w:ind w:firstLine="0" w:firstLineChars="0"/>
              <w:jc w:val="center"/>
              <w:rPr>
                <w:rFonts w:ascii="黑体" w:hAnsi="黑体" w:eastAsia="黑体"/>
                <w:sz w:val="18"/>
                <w:szCs w:val="18"/>
              </w:rPr>
            </w:pPr>
            <w:r>
              <w:rPr>
                <w:rFonts w:ascii="Gabriola" w:hAnsi="Gabriola"/>
                <w:sz w:val="24"/>
                <w:szCs w:val="24"/>
              </w:rPr>
              <w:t>X</w:t>
            </w:r>
            <w:r>
              <w:rPr>
                <w:rFonts w:asciiTheme="majorEastAsia" w:hAnsiTheme="majorEastAsia" w:eastAsiaTheme="majorEastAsia"/>
                <w:sz w:val="24"/>
                <w:szCs w:val="24"/>
                <w:vertAlign w:val="subscript"/>
              </w:rPr>
              <w:t>3</w:t>
            </w:r>
          </w:p>
        </w:tc>
      </w:tr>
      <w:tr w14:paraId="0A3001B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567" w:type="dxa"/>
            <w:vAlign w:val="center"/>
          </w:tcPr>
          <w:p w14:paraId="25533B22">
            <w:pPr>
              <w:pStyle w:val="25"/>
              <w:spacing w:line="240" w:lineRule="atLeast"/>
              <w:ind w:firstLine="0" w:firstLineChars="0"/>
              <w:jc w:val="center"/>
              <w:rPr>
                <w:rFonts w:ascii="黑体" w:hAnsi="黑体" w:eastAsia="黑体"/>
                <w:sz w:val="18"/>
                <w:szCs w:val="18"/>
              </w:rPr>
            </w:pPr>
            <w:r>
              <w:rPr>
                <w:rFonts w:ascii="黑体" w:hAnsi="黑体" w:eastAsia="黑体"/>
                <w:sz w:val="18"/>
                <w:szCs w:val="18"/>
              </w:rPr>
              <w:t>4</w:t>
            </w:r>
          </w:p>
        </w:tc>
        <w:tc>
          <w:tcPr>
            <w:tcW w:w="2341" w:type="dxa"/>
            <w:vAlign w:val="center"/>
          </w:tcPr>
          <w:p w14:paraId="05103AD5">
            <w:pPr>
              <w:pStyle w:val="25"/>
              <w:spacing w:line="240" w:lineRule="atLeast"/>
              <w:ind w:firstLine="0" w:firstLineChars="0"/>
              <w:jc w:val="center"/>
              <w:rPr>
                <w:rFonts w:ascii="黑体" w:hAnsi="黑体" w:eastAsia="黑体"/>
                <w:sz w:val="18"/>
                <w:szCs w:val="18"/>
              </w:rPr>
            </w:pPr>
            <w:bookmarkStart w:id="46" w:name="_Hlk89166910"/>
            <w:r>
              <w:rPr>
                <w:rFonts w:hint="eastAsia" w:hAnsi="宋体" w:cs="宋体"/>
                <w:color w:val="000000"/>
                <w:sz w:val="16"/>
                <w:szCs w:val="16"/>
              </w:rPr>
              <w:t>D</w:t>
            </w:r>
            <w:r>
              <w:rPr>
                <w:rFonts w:hAnsi="宋体" w:cs="宋体"/>
                <w:color w:val="000000"/>
                <w:sz w:val="16"/>
                <w:szCs w:val="16"/>
                <w:vertAlign w:val="subscript"/>
              </w:rPr>
              <w:t>4</w:t>
            </w:r>
            <w:r>
              <w:rPr>
                <w:rFonts w:hAnsi="宋体" w:cs="宋体"/>
                <w:color w:val="000000"/>
                <w:sz w:val="16"/>
                <w:szCs w:val="16"/>
              </w:rPr>
              <w:t>-</w:t>
            </w:r>
            <w:r>
              <w:rPr>
                <w:rFonts w:hint="eastAsia" w:hAnsi="宋体" w:cs="宋体"/>
                <w:color w:val="000000"/>
                <w:sz w:val="16"/>
                <w:szCs w:val="16"/>
              </w:rPr>
              <w:t>基建安装</w:t>
            </w:r>
            <w:bookmarkEnd w:id="46"/>
          </w:p>
        </w:tc>
        <w:tc>
          <w:tcPr>
            <w:tcW w:w="4714" w:type="dxa"/>
            <w:shd w:val="clear" w:color="auto" w:fill="auto"/>
            <w:vAlign w:val="center"/>
          </w:tcPr>
          <w:p w14:paraId="5AADA8B0">
            <w:pPr>
              <w:pStyle w:val="25"/>
              <w:spacing w:line="240" w:lineRule="atLeast"/>
              <w:ind w:firstLine="0" w:firstLineChars="0"/>
              <w:jc w:val="center"/>
              <w:rPr>
                <w:rFonts w:ascii="黑体" w:hAnsi="黑体" w:eastAsia="黑体"/>
                <w:sz w:val="18"/>
                <w:szCs w:val="18"/>
              </w:rPr>
            </w:pPr>
            <w:r>
              <w:rPr>
                <w:rFonts w:hint="eastAsia" w:hAnsi="宋体" w:cs="宋体"/>
                <w:color w:val="000000"/>
                <w:sz w:val="16"/>
                <w:szCs w:val="16"/>
              </w:rPr>
              <w:t>基建安装过程验收及安装评价数据，包括：设备投运一次合格率、安装过程评价及投运意见</w:t>
            </w:r>
          </w:p>
        </w:tc>
        <w:tc>
          <w:tcPr>
            <w:tcW w:w="1257" w:type="dxa"/>
            <w:vAlign w:val="center"/>
          </w:tcPr>
          <w:p w14:paraId="532D4153">
            <w:pPr>
              <w:pStyle w:val="25"/>
              <w:spacing w:line="240" w:lineRule="exact"/>
              <w:ind w:firstLine="0" w:firstLineChars="0"/>
              <w:jc w:val="center"/>
              <w:rPr>
                <w:rFonts w:ascii="黑体" w:hAnsi="黑体" w:eastAsia="黑体"/>
                <w:sz w:val="18"/>
                <w:szCs w:val="18"/>
              </w:rPr>
            </w:pPr>
            <w:r>
              <w:rPr>
                <w:rFonts w:ascii="Gabriola" w:hAnsi="Gabriola"/>
                <w:sz w:val="24"/>
                <w:szCs w:val="24"/>
              </w:rPr>
              <w:t>X</w:t>
            </w:r>
            <w:r>
              <w:rPr>
                <w:rFonts w:ascii="Gabriola" w:hAnsi="Gabriola"/>
                <w:sz w:val="24"/>
                <w:szCs w:val="24"/>
                <w:vertAlign w:val="subscript"/>
              </w:rPr>
              <w:t>4</w:t>
            </w:r>
          </w:p>
        </w:tc>
      </w:tr>
      <w:tr w14:paraId="4B23778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75" w:hRule="atLeast"/>
          <w:jc w:val="center"/>
        </w:trPr>
        <w:tc>
          <w:tcPr>
            <w:tcW w:w="567" w:type="dxa"/>
            <w:shd w:val="clear" w:color="auto" w:fill="auto"/>
            <w:vAlign w:val="center"/>
          </w:tcPr>
          <w:p w14:paraId="6EBFA1C6">
            <w:pPr>
              <w:pStyle w:val="25"/>
              <w:spacing w:line="240" w:lineRule="atLeast"/>
              <w:ind w:firstLine="0" w:firstLineChars="0"/>
              <w:jc w:val="center"/>
              <w:rPr>
                <w:rFonts w:ascii="黑体" w:hAnsi="黑体" w:eastAsia="黑体"/>
                <w:sz w:val="18"/>
                <w:szCs w:val="18"/>
              </w:rPr>
            </w:pPr>
            <w:r>
              <w:rPr>
                <w:rFonts w:ascii="等线" w:hAnsi="等线" w:eastAsia="等线" w:cs="宋体"/>
                <w:color w:val="000000"/>
                <w:sz w:val="16"/>
                <w:szCs w:val="16"/>
              </w:rPr>
              <w:t>5</w:t>
            </w:r>
          </w:p>
        </w:tc>
        <w:tc>
          <w:tcPr>
            <w:tcW w:w="2341" w:type="dxa"/>
            <w:shd w:val="clear" w:color="auto" w:fill="auto"/>
            <w:vAlign w:val="center"/>
          </w:tcPr>
          <w:p w14:paraId="48AE1B45">
            <w:pPr>
              <w:pStyle w:val="25"/>
              <w:spacing w:line="240" w:lineRule="atLeast"/>
              <w:ind w:firstLine="0" w:firstLineChars="0"/>
              <w:jc w:val="center"/>
              <w:rPr>
                <w:rFonts w:ascii="黑体" w:hAnsi="黑体" w:eastAsia="黑体"/>
                <w:sz w:val="18"/>
                <w:szCs w:val="18"/>
              </w:rPr>
            </w:pPr>
            <w:bookmarkStart w:id="47" w:name="_Hlk89763632"/>
            <w:r>
              <w:rPr>
                <w:rFonts w:hint="eastAsia" w:hAnsi="宋体" w:cs="宋体"/>
                <w:color w:val="000000"/>
                <w:sz w:val="16"/>
                <w:szCs w:val="16"/>
              </w:rPr>
              <w:t>D</w:t>
            </w:r>
            <w:r>
              <w:rPr>
                <w:rFonts w:hAnsi="宋体" w:cs="宋体"/>
                <w:color w:val="000000"/>
                <w:sz w:val="16"/>
                <w:szCs w:val="16"/>
                <w:vertAlign w:val="subscript"/>
              </w:rPr>
              <w:t>5</w:t>
            </w:r>
            <w:r>
              <w:rPr>
                <w:rFonts w:hAnsi="宋体" w:cs="宋体"/>
                <w:color w:val="000000"/>
                <w:sz w:val="16"/>
                <w:szCs w:val="16"/>
              </w:rPr>
              <w:t>-</w:t>
            </w:r>
            <w:r>
              <w:rPr>
                <w:rFonts w:hint="eastAsia" w:hAnsi="宋体" w:cs="宋体"/>
                <w:color w:val="000000"/>
                <w:sz w:val="16"/>
                <w:szCs w:val="16"/>
              </w:rPr>
              <w:t>供应商资质能力评价</w:t>
            </w:r>
            <w:bookmarkEnd w:id="47"/>
          </w:p>
        </w:tc>
        <w:tc>
          <w:tcPr>
            <w:tcW w:w="4714" w:type="dxa"/>
            <w:shd w:val="clear" w:color="auto" w:fill="auto"/>
            <w:vAlign w:val="center"/>
          </w:tcPr>
          <w:p w14:paraId="5A590719">
            <w:pPr>
              <w:pStyle w:val="25"/>
              <w:spacing w:line="240" w:lineRule="atLeast"/>
              <w:ind w:firstLine="0" w:firstLineChars="0"/>
              <w:jc w:val="center"/>
              <w:rPr>
                <w:rFonts w:ascii="黑体" w:hAnsi="黑体" w:eastAsia="黑体"/>
                <w:sz w:val="18"/>
                <w:szCs w:val="18"/>
              </w:rPr>
            </w:pPr>
            <w:r>
              <w:rPr>
                <w:rFonts w:hint="eastAsia" w:hAnsi="宋体" w:cs="宋体"/>
                <w:color w:val="000000"/>
                <w:sz w:val="16"/>
                <w:szCs w:val="16"/>
              </w:rPr>
              <w:t>供应商资质能力评价数据，包括供应商技术能力、生产能力和质量管理能力评价数据</w:t>
            </w:r>
          </w:p>
        </w:tc>
        <w:tc>
          <w:tcPr>
            <w:tcW w:w="1257" w:type="dxa"/>
            <w:vAlign w:val="center"/>
          </w:tcPr>
          <w:p w14:paraId="24722C8A">
            <w:pPr>
              <w:pStyle w:val="25"/>
              <w:spacing w:line="240" w:lineRule="exact"/>
              <w:ind w:firstLine="0" w:firstLineChars="0"/>
              <w:jc w:val="center"/>
              <w:rPr>
                <w:rFonts w:ascii="黑体" w:hAnsi="黑体" w:eastAsia="黑体"/>
                <w:sz w:val="18"/>
                <w:szCs w:val="18"/>
              </w:rPr>
            </w:pPr>
            <w:bookmarkStart w:id="48" w:name="_Hlk89797931"/>
            <w:r>
              <w:rPr>
                <w:rFonts w:ascii="Gabriola" w:hAnsi="Gabriola"/>
                <w:sz w:val="24"/>
                <w:szCs w:val="24"/>
              </w:rPr>
              <w:t>X</w:t>
            </w:r>
            <w:r>
              <w:rPr>
                <w:rFonts w:asciiTheme="majorEastAsia" w:hAnsiTheme="majorEastAsia" w:eastAsiaTheme="majorEastAsia"/>
                <w:sz w:val="24"/>
                <w:szCs w:val="24"/>
                <w:vertAlign w:val="subscript"/>
              </w:rPr>
              <w:t>5</w:t>
            </w:r>
            <w:bookmarkEnd w:id="48"/>
          </w:p>
        </w:tc>
      </w:tr>
    </w:tbl>
    <w:p w14:paraId="2AAD8E99">
      <w:pPr>
        <w:pStyle w:val="25"/>
        <w:spacing w:before="156" w:beforeLines="50" w:after="156" w:afterLines="50"/>
        <w:ind w:firstLine="0" w:firstLineChars="0"/>
        <w:outlineLvl w:val="9"/>
        <w:rPr>
          <w:rFonts w:ascii="黑体" w:hAnsi="黑体" w:eastAsia="黑体"/>
        </w:rPr>
      </w:pPr>
      <w:r>
        <w:rPr>
          <w:rFonts w:hint="eastAsia" w:ascii="黑体" w:hAnsi="黑体" w:eastAsia="黑体"/>
        </w:rPr>
        <w:t>4</w:t>
      </w:r>
      <w:r>
        <w:rPr>
          <w:rFonts w:ascii="黑体" w:hAnsi="黑体" w:eastAsia="黑体"/>
        </w:rPr>
        <w:t xml:space="preserve">.2.2 </w:t>
      </w:r>
      <w:r>
        <w:rPr>
          <w:rFonts w:hint="eastAsia" w:ascii="黑体" w:hAnsi="黑体" w:eastAsia="黑体"/>
        </w:rPr>
        <w:t>数据采集</w:t>
      </w:r>
    </w:p>
    <w:p w14:paraId="5F445687">
      <w:pPr>
        <w:pStyle w:val="25"/>
      </w:pPr>
      <w:r>
        <w:rPr>
          <w:rFonts w:hint="eastAsia"/>
        </w:rPr>
        <w:t>配网设备全生命周期质量数据分值应通过各阶段相关质量数据的采集，通过量化评分获得。具体采集的数据和评分分值按照表2</w:t>
      </w:r>
      <w:r>
        <w:t>.</w:t>
      </w:r>
      <w:r>
        <w:rPr>
          <w:rFonts w:hint="eastAsia"/>
        </w:rPr>
        <w:t>所列。</w:t>
      </w:r>
    </w:p>
    <w:p w14:paraId="5BB855CE">
      <w:pPr>
        <w:pStyle w:val="25"/>
      </w:pPr>
      <w:r>
        <w:rPr>
          <w:rFonts w:hint="eastAsia"/>
        </w:rPr>
        <w:t>数据采集方法主要有：</w:t>
      </w:r>
      <w:bookmarkStart w:id="49" w:name="_Hlk89814262"/>
      <w:r>
        <w:rPr>
          <w:rFonts w:hint="eastAsia"/>
        </w:rPr>
        <w:t>检验、监控、报表统计和评价等</w:t>
      </w:r>
      <w:bookmarkEnd w:id="49"/>
      <w:r>
        <w:rPr>
          <w:rFonts w:hint="eastAsia"/>
        </w:rPr>
        <w:t>。</w:t>
      </w:r>
    </w:p>
    <w:p w14:paraId="5A5D63E1">
      <w:pPr>
        <w:pStyle w:val="25"/>
        <w:spacing w:before="156" w:beforeLines="50" w:after="156" w:afterLines="50"/>
        <w:ind w:firstLine="0" w:firstLineChars="0"/>
        <w:jc w:val="center"/>
        <w:rPr>
          <w:rFonts w:hAnsi="黑体"/>
          <w:szCs w:val="21"/>
        </w:rPr>
      </w:pPr>
      <w:r>
        <w:rPr>
          <w:rFonts w:hint="eastAsia" w:ascii="黑体" w:hAnsi="黑体" w:eastAsia="黑体"/>
          <w:szCs w:val="21"/>
        </w:rPr>
        <w:t>表</w:t>
      </w:r>
      <w:r>
        <w:rPr>
          <w:rFonts w:ascii="黑体" w:hAnsi="黑体" w:eastAsia="黑体"/>
          <w:szCs w:val="21"/>
        </w:rPr>
        <w:t>2.</w:t>
      </w:r>
      <w:r>
        <w:rPr>
          <w:rFonts w:hint="eastAsia" w:ascii="黑体" w:hAnsi="黑体" w:eastAsia="黑体"/>
          <w:szCs w:val="21"/>
        </w:rPr>
        <w:t>质量数据采集和评价表</w:t>
      </w:r>
    </w:p>
    <w:tbl>
      <w:tblPr>
        <w:tblStyle w:val="34"/>
        <w:tblW w:w="9402" w:type="dxa"/>
        <w:tblInd w:w="11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830"/>
        <w:gridCol w:w="988"/>
        <w:gridCol w:w="1081"/>
        <w:gridCol w:w="1240"/>
        <w:gridCol w:w="1036"/>
        <w:gridCol w:w="2148"/>
        <w:gridCol w:w="456"/>
        <w:gridCol w:w="1031"/>
        <w:gridCol w:w="12"/>
        <w:tblGridChange w:id="1">
          <w:tblGrid>
            <w:gridCol w:w="10"/>
            <w:gridCol w:w="570"/>
            <w:gridCol w:w="10"/>
            <w:gridCol w:w="820"/>
            <w:gridCol w:w="3"/>
            <w:gridCol w:w="7"/>
            <w:gridCol w:w="978"/>
            <w:gridCol w:w="7"/>
            <w:gridCol w:w="3"/>
            <w:gridCol w:w="1071"/>
            <w:gridCol w:w="10"/>
            <w:gridCol w:w="2"/>
            <w:gridCol w:w="1228"/>
            <w:gridCol w:w="1036"/>
            <w:gridCol w:w="2148"/>
            <w:gridCol w:w="456"/>
            <w:gridCol w:w="1031"/>
            <w:gridCol w:w="12"/>
          </w:tblGrid>
        </w:tblGridChange>
      </w:tblGrid>
      <w:tr w14:paraId="6F768F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90" w:hRule="atLeast"/>
          <w:tblHeader/>
        </w:trPr>
        <w:tc>
          <w:tcPr>
            <w:tcW w:w="580" w:type="dxa"/>
            <w:shd w:val="clear" w:color="auto" w:fill="auto"/>
            <w:vAlign w:val="center"/>
          </w:tcPr>
          <w:p w14:paraId="4BCD9457">
            <w:pPr>
              <w:widowControl/>
              <w:jc w:val="center"/>
              <w:rPr>
                <w:rFonts w:ascii="宋体" w:hAnsi="宋体" w:cs="宋体"/>
                <w:color w:val="000000"/>
                <w:kern w:val="0"/>
                <w:sz w:val="16"/>
                <w:szCs w:val="16"/>
              </w:rPr>
            </w:pPr>
            <w:r>
              <w:rPr>
                <w:rFonts w:hint="eastAsia" w:ascii="宋体" w:hAnsi="宋体" w:cs="宋体"/>
                <w:color w:val="000000"/>
                <w:kern w:val="0"/>
                <w:sz w:val="16"/>
                <w:szCs w:val="16"/>
              </w:rPr>
              <w:t>序号</w:t>
            </w:r>
          </w:p>
        </w:tc>
        <w:tc>
          <w:tcPr>
            <w:tcW w:w="830" w:type="dxa"/>
            <w:shd w:val="clear" w:color="auto" w:fill="auto"/>
            <w:vAlign w:val="center"/>
          </w:tcPr>
          <w:p w14:paraId="28C0B323">
            <w:pPr>
              <w:widowControl/>
              <w:jc w:val="center"/>
              <w:rPr>
                <w:rFonts w:ascii="宋体" w:hAnsi="宋体" w:cs="宋体"/>
                <w:color w:val="000000"/>
                <w:kern w:val="0"/>
                <w:sz w:val="16"/>
                <w:szCs w:val="16"/>
              </w:rPr>
            </w:pPr>
            <w:r>
              <w:rPr>
                <w:rFonts w:hint="eastAsia" w:ascii="宋体" w:hAnsi="宋体" w:cs="宋体"/>
                <w:color w:val="000000"/>
                <w:kern w:val="0"/>
                <w:sz w:val="16"/>
                <w:szCs w:val="16"/>
              </w:rPr>
              <w:t>数据</w:t>
            </w:r>
          </w:p>
          <w:p w14:paraId="03A4FDEA">
            <w:pPr>
              <w:widowControl/>
              <w:jc w:val="center"/>
              <w:rPr>
                <w:rFonts w:ascii="宋体" w:hAnsi="宋体" w:cs="宋体"/>
                <w:color w:val="000000"/>
                <w:kern w:val="0"/>
                <w:sz w:val="16"/>
                <w:szCs w:val="16"/>
              </w:rPr>
            </w:pPr>
            <w:r>
              <w:rPr>
                <w:rFonts w:hint="eastAsia" w:ascii="宋体" w:hAnsi="宋体" w:cs="宋体"/>
                <w:color w:val="000000"/>
                <w:kern w:val="0"/>
                <w:sz w:val="16"/>
                <w:szCs w:val="16"/>
              </w:rPr>
              <w:t>来源</w:t>
            </w:r>
          </w:p>
        </w:tc>
        <w:tc>
          <w:tcPr>
            <w:tcW w:w="988" w:type="dxa"/>
            <w:shd w:val="clear" w:color="auto" w:fill="auto"/>
            <w:vAlign w:val="center"/>
          </w:tcPr>
          <w:p w14:paraId="6BADB653">
            <w:pPr>
              <w:widowControl/>
              <w:jc w:val="center"/>
              <w:rPr>
                <w:rFonts w:ascii="宋体" w:hAnsi="宋体" w:cs="宋体"/>
                <w:color w:val="000000"/>
                <w:kern w:val="0"/>
                <w:sz w:val="16"/>
                <w:szCs w:val="16"/>
              </w:rPr>
            </w:pPr>
            <w:r>
              <w:rPr>
                <w:rFonts w:hint="eastAsia" w:ascii="宋体" w:hAnsi="宋体" w:cs="宋体"/>
                <w:color w:val="000000"/>
                <w:kern w:val="0"/>
                <w:sz w:val="16"/>
                <w:szCs w:val="16"/>
              </w:rPr>
              <w:t>数据</w:t>
            </w:r>
          </w:p>
          <w:p w14:paraId="02387076">
            <w:pPr>
              <w:widowControl/>
              <w:jc w:val="center"/>
              <w:rPr>
                <w:rFonts w:ascii="宋体" w:hAnsi="宋体" w:cs="宋体"/>
                <w:color w:val="000000"/>
                <w:kern w:val="0"/>
                <w:sz w:val="16"/>
                <w:szCs w:val="16"/>
              </w:rPr>
            </w:pPr>
            <w:r>
              <w:rPr>
                <w:rFonts w:hint="eastAsia" w:ascii="宋体" w:hAnsi="宋体" w:cs="宋体"/>
                <w:color w:val="000000"/>
                <w:kern w:val="0"/>
                <w:sz w:val="16"/>
                <w:szCs w:val="16"/>
              </w:rPr>
              <w:t>分布</w:t>
            </w:r>
          </w:p>
        </w:tc>
        <w:tc>
          <w:tcPr>
            <w:tcW w:w="1081" w:type="dxa"/>
            <w:shd w:val="clear" w:color="auto" w:fill="auto"/>
            <w:vAlign w:val="center"/>
          </w:tcPr>
          <w:p w14:paraId="4A3F1E55">
            <w:pPr>
              <w:widowControl/>
              <w:jc w:val="center"/>
              <w:rPr>
                <w:rFonts w:ascii="宋体" w:hAnsi="宋体" w:cs="宋体"/>
                <w:color w:val="000000"/>
                <w:kern w:val="0"/>
                <w:sz w:val="16"/>
                <w:szCs w:val="16"/>
              </w:rPr>
            </w:pPr>
            <w:r>
              <w:rPr>
                <w:rFonts w:hint="eastAsia" w:ascii="宋体" w:hAnsi="宋体" w:cs="宋体"/>
                <w:color w:val="000000"/>
                <w:kern w:val="0"/>
                <w:sz w:val="16"/>
                <w:szCs w:val="16"/>
              </w:rPr>
              <w:t>数据名称</w:t>
            </w:r>
          </w:p>
        </w:tc>
        <w:tc>
          <w:tcPr>
            <w:tcW w:w="1240" w:type="dxa"/>
            <w:shd w:val="clear" w:color="auto" w:fill="auto"/>
            <w:vAlign w:val="center"/>
          </w:tcPr>
          <w:p w14:paraId="727B76F3">
            <w:pPr>
              <w:widowControl/>
              <w:jc w:val="center"/>
              <w:rPr>
                <w:rFonts w:ascii="宋体" w:hAnsi="宋体" w:cs="宋体"/>
                <w:color w:val="000000"/>
                <w:kern w:val="0"/>
                <w:sz w:val="16"/>
                <w:szCs w:val="16"/>
              </w:rPr>
            </w:pPr>
            <w:r>
              <w:rPr>
                <w:rFonts w:hint="eastAsia" w:ascii="宋体" w:hAnsi="宋体" w:cs="宋体"/>
                <w:color w:val="000000"/>
                <w:kern w:val="0"/>
                <w:sz w:val="16"/>
                <w:szCs w:val="16"/>
              </w:rPr>
              <w:t>数据评价指标</w:t>
            </w:r>
          </w:p>
        </w:tc>
        <w:tc>
          <w:tcPr>
            <w:tcW w:w="1036" w:type="dxa"/>
            <w:shd w:val="clear" w:color="auto" w:fill="auto"/>
            <w:vAlign w:val="center"/>
          </w:tcPr>
          <w:p w14:paraId="058F317B">
            <w:pPr>
              <w:widowControl/>
              <w:jc w:val="center"/>
              <w:rPr>
                <w:rFonts w:ascii="宋体" w:hAnsi="宋体" w:cs="宋体"/>
                <w:color w:val="000000"/>
                <w:kern w:val="0"/>
                <w:sz w:val="16"/>
                <w:szCs w:val="16"/>
              </w:rPr>
            </w:pPr>
            <w:r>
              <w:rPr>
                <w:rFonts w:hint="eastAsia" w:ascii="宋体" w:hAnsi="宋体" w:cs="宋体"/>
                <w:color w:val="000000"/>
                <w:kern w:val="0"/>
                <w:sz w:val="16"/>
                <w:szCs w:val="16"/>
              </w:rPr>
              <w:t>评价方法</w:t>
            </w:r>
          </w:p>
        </w:tc>
        <w:tc>
          <w:tcPr>
            <w:tcW w:w="2604" w:type="dxa"/>
            <w:gridSpan w:val="2"/>
            <w:shd w:val="clear" w:color="auto" w:fill="auto"/>
            <w:vAlign w:val="center"/>
          </w:tcPr>
          <w:p w14:paraId="6169F00F">
            <w:pPr>
              <w:widowControl/>
              <w:jc w:val="center"/>
              <w:rPr>
                <w:rFonts w:ascii="宋体" w:hAnsi="宋体" w:cs="宋体"/>
                <w:color w:val="000000"/>
                <w:kern w:val="0"/>
                <w:sz w:val="16"/>
                <w:szCs w:val="16"/>
              </w:rPr>
            </w:pPr>
            <w:r>
              <w:rPr>
                <w:rFonts w:hint="eastAsia" w:ascii="宋体" w:hAnsi="宋体" w:cs="宋体"/>
                <w:color w:val="000000"/>
                <w:kern w:val="0"/>
                <w:sz w:val="16"/>
                <w:szCs w:val="16"/>
              </w:rPr>
              <w:t>量化评分（d）</w:t>
            </w:r>
          </w:p>
        </w:tc>
        <w:tc>
          <w:tcPr>
            <w:tcW w:w="1031" w:type="dxa"/>
            <w:shd w:val="clear" w:color="auto" w:fill="auto"/>
            <w:vAlign w:val="center"/>
          </w:tcPr>
          <w:p w14:paraId="382B4804">
            <w:pPr>
              <w:widowControl/>
              <w:jc w:val="center"/>
              <w:rPr>
                <w:rFonts w:ascii="宋体" w:hAnsi="宋体" w:cs="宋体"/>
                <w:color w:val="000000"/>
                <w:kern w:val="0"/>
                <w:sz w:val="16"/>
                <w:szCs w:val="16"/>
              </w:rPr>
            </w:pPr>
            <w:r>
              <w:rPr>
                <w:rFonts w:hint="eastAsia" w:ascii="宋体" w:hAnsi="宋体" w:cs="宋体"/>
                <w:color w:val="000000"/>
                <w:kern w:val="0"/>
                <w:sz w:val="16"/>
                <w:szCs w:val="16"/>
              </w:rPr>
              <w:t>数据分值（X</w:t>
            </w:r>
            <w:r>
              <w:rPr>
                <w:rFonts w:hint="eastAsia" w:ascii="宋体" w:hAnsi="宋体" w:cs="宋体"/>
                <w:color w:val="000000"/>
                <w:kern w:val="0"/>
                <w:sz w:val="16"/>
                <w:szCs w:val="16"/>
                <w:vertAlign w:val="subscript"/>
              </w:rPr>
              <w:t>i</w:t>
            </w:r>
            <w:r>
              <w:rPr>
                <w:rFonts w:hint="eastAsia" w:ascii="宋体" w:hAnsi="宋体" w:cs="宋体"/>
                <w:color w:val="000000"/>
                <w:kern w:val="0"/>
                <w:sz w:val="16"/>
                <w:szCs w:val="16"/>
              </w:rPr>
              <w:t>）</w:t>
            </w:r>
          </w:p>
        </w:tc>
      </w:tr>
      <w:tr w14:paraId="6655A2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0" w:type="dxa"/>
            <w:vMerge w:val="restart"/>
            <w:shd w:val="clear" w:color="auto" w:fill="auto"/>
            <w:noWrap/>
            <w:vAlign w:val="center"/>
          </w:tcPr>
          <w:p w14:paraId="3275B1D6">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1</w:t>
            </w:r>
          </w:p>
        </w:tc>
        <w:tc>
          <w:tcPr>
            <w:tcW w:w="830" w:type="dxa"/>
            <w:vMerge w:val="restart"/>
            <w:shd w:val="clear" w:color="auto" w:fill="auto"/>
            <w:vAlign w:val="center"/>
          </w:tcPr>
          <w:p w14:paraId="68342699">
            <w:pPr>
              <w:widowControl/>
              <w:jc w:val="center"/>
              <w:rPr>
                <w:rFonts w:ascii="宋体" w:hAnsi="宋体" w:cs="宋体"/>
                <w:color w:val="000000"/>
                <w:kern w:val="0"/>
                <w:sz w:val="16"/>
                <w:szCs w:val="16"/>
              </w:rPr>
            </w:pPr>
            <w:r>
              <w:rPr>
                <w:rFonts w:hint="eastAsia" w:ascii="宋体" w:hAnsi="宋体" w:cs="宋体"/>
                <w:color w:val="000000"/>
                <w:kern w:val="0"/>
                <w:sz w:val="16"/>
                <w:szCs w:val="16"/>
              </w:rPr>
              <w:t>生产制造过程</w:t>
            </w:r>
          </w:p>
        </w:tc>
        <w:tc>
          <w:tcPr>
            <w:tcW w:w="988" w:type="dxa"/>
            <w:vMerge w:val="restart"/>
            <w:shd w:val="clear" w:color="auto" w:fill="auto"/>
            <w:vAlign w:val="center"/>
          </w:tcPr>
          <w:p w14:paraId="33B99CD7">
            <w:pPr>
              <w:widowControl/>
              <w:jc w:val="center"/>
              <w:rPr>
                <w:rFonts w:ascii="宋体" w:hAnsi="宋体" w:cs="宋体"/>
                <w:color w:val="000000"/>
                <w:kern w:val="0"/>
                <w:sz w:val="16"/>
                <w:szCs w:val="16"/>
              </w:rPr>
            </w:pPr>
            <w:r>
              <w:rPr>
                <w:rFonts w:hint="eastAsia" w:ascii="宋体" w:hAnsi="宋体" w:cs="宋体"/>
                <w:color w:val="000000"/>
                <w:kern w:val="0"/>
                <w:sz w:val="16"/>
                <w:szCs w:val="16"/>
              </w:rPr>
              <w:t>原材料和部件检验</w:t>
            </w:r>
          </w:p>
        </w:tc>
        <w:tc>
          <w:tcPr>
            <w:tcW w:w="1081" w:type="dxa"/>
            <w:vMerge w:val="restart"/>
            <w:shd w:val="clear" w:color="auto" w:fill="auto"/>
            <w:vAlign w:val="center"/>
          </w:tcPr>
          <w:p w14:paraId="72C2B51A">
            <w:pPr>
              <w:widowControl/>
              <w:jc w:val="center"/>
              <w:rPr>
                <w:rFonts w:ascii="宋体" w:hAnsi="宋体" w:cs="宋体"/>
                <w:color w:val="000000"/>
                <w:kern w:val="0"/>
                <w:sz w:val="16"/>
                <w:szCs w:val="16"/>
              </w:rPr>
            </w:pPr>
            <w:r>
              <w:rPr>
                <w:rFonts w:hint="eastAsia" w:ascii="宋体" w:hAnsi="宋体" w:cs="宋体"/>
                <w:color w:val="000000"/>
                <w:kern w:val="0"/>
                <w:sz w:val="16"/>
                <w:szCs w:val="16"/>
              </w:rPr>
              <w:t>原材料及部件供应商质量管理</w:t>
            </w:r>
          </w:p>
        </w:tc>
        <w:tc>
          <w:tcPr>
            <w:tcW w:w="1240" w:type="dxa"/>
            <w:vMerge w:val="restart"/>
            <w:shd w:val="clear" w:color="auto" w:fill="auto"/>
            <w:vAlign w:val="center"/>
          </w:tcPr>
          <w:p w14:paraId="32AA8DD9">
            <w:pPr>
              <w:widowControl/>
              <w:jc w:val="center"/>
              <w:rPr>
                <w:rFonts w:ascii="宋体" w:hAnsi="宋体" w:cs="宋体"/>
                <w:color w:val="000000"/>
                <w:kern w:val="0"/>
                <w:sz w:val="16"/>
                <w:szCs w:val="16"/>
              </w:rPr>
            </w:pPr>
            <w:r>
              <w:rPr>
                <w:rFonts w:hint="eastAsia" w:ascii="宋体" w:hAnsi="宋体" w:cs="宋体"/>
                <w:color w:val="000000"/>
                <w:kern w:val="0"/>
                <w:sz w:val="16"/>
                <w:szCs w:val="16"/>
              </w:rPr>
              <w:t>供应商质量保证能力</w:t>
            </w:r>
          </w:p>
        </w:tc>
        <w:tc>
          <w:tcPr>
            <w:tcW w:w="1036" w:type="dxa"/>
            <w:vMerge w:val="restart"/>
            <w:shd w:val="clear" w:color="auto" w:fill="auto"/>
            <w:vAlign w:val="center"/>
          </w:tcPr>
          <w:p w14:paraId="54108AC8">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w:t>
            </w:r>
          </w:p>
        </w:tc>
        <w:tc>
          <w:tcPr>
            <w:tcW w:w="2148" w:type="dxa"/>
            <w:shd w:val="clear" w:color="auto" w:fill="auto"/>
            <w:vAlign w:val="center"/>
          </w:tcPr>
          <w:p w14:paraId="19A90967">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可提供评价标准和记录，每季度进行评价</w:t>
            </w:r>
          </w:p>
        </w:tc>
        <w:tc>
          <w:tcPr>
            <w:tcW w:w="456" w:type="dxa"/>
            <w:shd w:val="clear" w:color="000000" w:fill="D9D9D9"/>
            <w:vAlign w:val="center"/>
          </w:tcPr>
          <w:p w14:paraId="04DA79BB">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restart"/>
            <w:shd w:val="clear" w:color="auto" w:fill="auto"/>
            <w:vAlign w:val="center"/>
          </w:tcPr>
          <w:p w14:paraId="4C7CAF1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0-100</w:t>
            </w:r>
          </w:p>
        </w:tc>
      </w:tr>
      <w:tr w14:paraId="3759F3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0" w:type="dxa"/>
            <w:vMerge w:val="continue"/>
            <w:vAlign w:val="center"/>
          </w:tcPr>
          <w:p w14:paraId="7E4DBB54">
            <w:pPr>
              <w:widowControl/>
              <w:jc w:val="left"/>
              <w:rPr>
                <w:rFonts w:ascii="等线" w:hAnsi="等线" w:eastAsia="等线" w:cs="宋体"/>
                <w:color w:val="000000"/>
                <w:kern w:val="0"/>
                <w:sz w:val="16"/>
                <w:szCs w:val="16"/>
              </w:rPr>
            </w:pPr>
          </w:p>
        </w:tc>
        <w:tc>
          <w:tcPr>
            <w:tcW w:w="830" w:type="dxa"/>
            <w:vMerge w:val="continue"/>
            <w:vAlign w:val="center"/>
          </w:tcPr>
          <w:p w14:paraId="07187D7B">
            <w:pPr>
              <w:widowControl/>
              <w:jc w:val="left"/>
              <w:rPr>
                <w:rFonts w:ascii="宋体" w:hAnsi="宋体" w:cs="宋体"/>
                <w:color w:val="000000"/>
                <w:kern w:val="0"/>
                <w:sz w:val="16"/>
                <w:szCs w:val="16"/>
              </w:rPr>
            </w:pPr>
          </w:p>
        </w:tc>
        <w:tc>
          <w:tcPr>
            <w:tcW w:w="988" w:type="dxa"/>
            <w:vMerge w:val="continue"/>
            <w:vAlign w:val="center"/>
          </w:tcPr>
          <w:p w14:paraId="519283D1">
            <w:pPr>
              <w:widowControl/>
              <w:jc w:val="left"/>
              <w:rPr>
                <w:rFonts w:ascii="宋体" w:hAnsi="宋体" w:cs="宋体"/>
                <w:color w:val="000000"/>
                <w:kern w:val="0"/>
                <w:sz w:val="16"/>
                <w:szCs w:val="16"/>
              </w:rPr>
            </w:pPr>
          </w:p>
        </w:tc>
        <w:tc>
          <w:tcPr>
            <w:tcW w:w="1081" w:type="dxa"/>
            <w:vMerge w:val="continue"/>
            <w:vAlign w:val="center"/>
          </w:tcPr>
          <w:p w14:paraId="7CD7C23D">
            <w:pPr>
              <w:widowControl/>
              <w:jc w:val="left"/>
              <w:rPr>
                <w:rFonts w:ascii="宋体" w:hAnsi="宋体" w:cs="宋体"/>
                <w:color w:val="000000"/>
                <w:kern w:val="0"/>
                <w:sz w:val="16"/>
                <w:szCs w:val="16"/>
              </w:rPr>
            </w:pPr>
          </w:p>
        </w:tc>
        <w:tc>
          <w:tcPr>
            <w:tcW w:w="1240" w:type="dxa"/>
            <w:vMerge w:val="continue"/>
            <w:vAlign w:val="center"/>
          </w:tcPr>
          <w:p w14:paraId="7C438BC7">
            <w:pPr>
              <w:widowControl/>
              <w:jc w:val="left"/>
              <w:rPr>
                <w:rFonts w:ascii="宋体" w:hAnsi="宋体" w:cs="宋体"/>
                <w:color w:val="000000"/>
                <w:kern w:val="0"/>
                <w:sz w:val="16"/>
                <w:szCs w:val="16"/>
              </w:rPr>
            </w:pPr>
          </w:p>
        </w:tc>
        <w:tc>
          <w:tcPr>
            <w:tcW w:w="1036" w:type="dxa"/>
            <w:vMerge w:val="continue"/>
            <w:vAlign w:val="center"/>
          </w:tcPr>
          <w:p w14:paraId="4656479B">
            <w:pPr>
              <w:widowControl/>
              <w:jc w:val="left"/>
              <w:rPr>
                <w:rFonts w:ascii="宋体" w:hAnsi="宋体" w:cs="宋体"/>
                <w:color w:val="000000"/>
                <w:kern w:val="0"/>
                <w:sz w:val="16"/>
                <w:szCs w:val="16"/>
              </w:rPr>
            </w:pPr>
          </w:p>
        </w:tc>
        <w:tc>
          <w:tcPr>
            <w:tcW w:w="2148" w:type="dxa"/>
            <w:shd w:val="clear" w:color="auto" w:fill="auto"/>
            <w:vAlign w:val="center"/>
          </w:tcPr>
          <w:p w14:paraId="7705D7F4">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可提供评价标准和记录，每半年进行评价</w:t>
            </w:r>
          </w:p>
        </w:tc>
        <w:tc>
          <w:tcPr>
            <w:tcW w:w="456" w:type="dxa"/>
            <w:shd w:val="clear" w:color="auto" w:fill="auto"/>
            <w:vAlign w:val="center"/>
          </w:tcPr>
          <w:p w14:paraId="363A92E5">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3</w:t>
            </w:r>
          </w:p>
        </w:tc>
        <w:tc>
          <w:tcPr>
            <w:tcW w:w="1043" w:type="dxa"/>
            <w:gridSpan w:val="2"/>
            <w:vMerge w:val="continue"/>
            <w:vAlign w:val="center"/>
          </w:tcPr>
          <w:p w14:paraId="00221A5C">
            <w:pPr>
              <w:widowControl/>
              <w:jc w:val="left"/>
              <w:rPr>
                <w:rFonts w:ascii="黑体" w:hAnsi="黑体" w:eastAsia="黑体" w:cs="宋体"/>
                <w:color w:val="000000"/>
                <w:kern w:val="0"/>
                <w:sz w:val="16"/>
                <w:szCs w:val="16"/>
              </w:rPr>
            </w:pPr>
          </w:p>
        </w:tc>
      </w:tr>
      <w:tr w14:paraId="1C29D9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80" w:type="dxa"/>
            <w:vMerge w:val="continue"/>
            <w:vAlign w:val="center"/>
          </w:tcPr>
          <w:p w14:paraId="10E3D715">
            <w:pPr>
              <w:widowControl/>
              <w:jc w:val="left"/>
              <w:rPr>
                <w:rFonts w:ascii="等线" w:hAnsi="等线" w:eastAsia="等线" w:cs="宋体"/>
                <w:color w:val="000000"/>
                <w:kern w:val="0"/>
                <w:sz w:val="16"/>
                <w:szCs w:val="16"/>
              </w:rPr>
            </w:pPr>
          </w:p>
        </w:tc>
        <w:tc>
          <w:tcPr>
            <w:tcW w:w="830" w:type="dxa"/>
            <w:vMerge w:val="continue"/>
            <w:vAlign w:val="center"/>
          </w:tcPr>
          <w:p w14:paraId="0FBF0AF6">
            <w:pPr>
              <w:widowControl/>
              <w:jc w:val="left"/>
              <w:rPr>
                <w:rFonts w:ascii="宋体" w:hAnsi="宋体" w:cs="宋体"/>
                <w:color w:val="000000"/>
                <w:kern w:val="0"/>
                <w:sz w:val="16"/>
                <w:szCs w:val="16"/>
              </w:rPr>
            </w:pPr>
          </w:p>
        </w:tc>
        <w:tc>
          <w:tcPr>
            <w:tcW w:w="988" w:type="dxa"/>
            <w:vMerge w:val="continue"/>
            <w:vAlign w:val="center"/>
          </w:tcPr>
          <w:p w14:paraId="2F143A0A">
            <w:pPr>
              <w:widowControl/>
              <w:jc w:val="left"/>
              <w:rPr>
                <w:rFonts w:ascii="宋体" w:hAnsi="宋体" w:cs="宋体"/>
                <w:color w:val="000000"/>
                <w:kern w:val="0"/>
                <w:sz w:val="16"/>
                <w:szCs w:val="16"/>
              </w:rPr>
            </w:pPr>
          </w:p>
        </w:tc>
        <w:tc>
          <w:tcPr>
            <w:tcW w:w="1081" w:type="dxa"/>
            <w:vMerge w:val="continue"/>
            <w:vAlign w:val="center"/>
          </w:tcPr>
          <w:p w14:paraId="36034DBA">
            <w:pPr>
              <w:widowControl/>
              <w:jc w:val="left"/>
              <w:rPr>
                <w:rFonts w:ascii="宋体" w:hAnsi="宋体" w:cs="宋体"/>
                <w:color w:val="000000"/>
                <w:kern w:val="0"/>
                <w:sz w:val="16"/>
                <w:szCs w:val="16"/>
              </w:rPr>
            </w:pPr>
          </w:p>
        </w:tc>
        <w:tc>
          <w:tcPr>
            <w:tcW w:w="1240" w:type="dxa"/>
            <w:vMerge w:val="continue"/>
            <w:vAlign w:val="center"/>
          </w:tcPr>
          <w:p w14:paraId="37C9A5F9">
            <w:pPr>
              <w:widowControl/>
              <w:jc w:val="left"/>
              <w:rPr>
                <w:rFonts w:ascii="宋体" w:hAnsi="宋体" w:cs="宋体"/>
                <w:color w:val="000000"/>
                <w:kern w:val="0"/>
                <w:sz w:val="16"/>
                <w:szCs w:val="16"/>
              </w:rPr>
            </w:pPr>
          </w:p>
        </w:tc>
        <w:tc>
          <w:tcPr>
            <w:tcW w:w="1036" w:type="dxa"/>
            <w:vMerge w:val="continue"/>
            <w:vAlign w:val="center"/>
          </w:tcPr>
          <w:p w14:paraId="4DF10D49">
            <w:pPr>
              <w:widowControl/>
              <w:jc w:val="left"/>
              <w:rPr>
                <w:rFonts w:ascii="宋体" w:hAnsi="宋体" w:cs="宋体"/>
                <w:color w:val="000000"/>
                <w:kern w:val="0"/>
                <w:sz w:val="16"/>
                <w:szCs w:val="16"/>
              </w:rPr>
            </w:pPr>
          </w:p>
        </w:tc>
        <w:tc>
          <w:tcPr>
            <w:tcW w:w="2148" w:type="dxa"/>
            <w:shd w:val="clear" w:color="auto" w:fill="auto"/>
            <w:vAlign w:val="center"/>
          </w:tcPr>
          <w:p w14:paraId="33977C77">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可提供评价标准和记录，每年进行评价</w:t>
            </w:r>
          </w:p>
        </w:tc>
        <w:tc>
          <w:tcPr>
            <w:tcW w:w="456" w:type="dxa"/>
            <w:shd w:val="clear" w:color="auto" w:fill="auto"/>
            <w:vAlign w:val="center"/>
          </w:tcPr>
          <w:p w14:paraId="558EBDFE">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p>
        </w:tc>
        <w:tc>
          <w:tcPr>
            <w:tcW w:w="1043" w:type="dxa"/>
            <w:gridSpan w:val="2"/>
            <w:vMerge w:val="continue"/>
            <w:vAlign w:val="center"/>
          </w:tcPr>
          <w:p w14:paraId="601B8E2A">
            <w:pPr>
              <w:widowControl/>
              <w:jc w:val="left"/>
              <w:rPr>
                <w:rFonts w:ascii="黑体" w:hAnsi="黑体" w:eastAsia="黑体" w:cs="宋体"/>
                <w:color w:val="000000"/>
                <w:kern w:val="0"/>
                <w:sz w:val="16"/>
                <w:szCs w:val="16"/>
              </w:rPr>
            </w:pPr>
          </w:p>
        </w:tc>
      </w:tr>
      <w:tr w14:paraId="1D3AF6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580" w:type="dxa"/>
            <w:vMerge w:val="continue"/>
            <w:vAlign w:val="center"/>
          </w:tcPr>
          <w:p w14:paraId="0C932ADD">
            <w:pPr>
              <w:widowControl/>
              <w:jc w:val="left"/>
              <w:rPr>
                <w:rFonts w:ascii="等线" w:hAnsi="等线" w:eastAsia="等线" w:cs="宋体"/>
                <w:color w:val="000000"/>
                <w:kern w:val="0"/>
                <w:sz w:val="16"/>
                <w:szCs w:val="16"/>
              </w:rPr>
            </w:pPr>
          </w:p>
        </w:tc>
        <w:tc>
          <w:tcPr>
            <w:tcW w:w="830" w:type="dxa"/>
            <w:vMerge w:val="continue"/>
            <w:vAlign w:val="center"/>
          </w:tcPr>
          <w:p w14:paraId="04E015CA">
            <w:pPr>
              <w:widowControl/>
              <w:jc w:val="left"/>
              <w:rPr>
                <w:rFonts w:ascii="宋体" w:hAnsi="宋体" w:cs="宋体"/>
                <w:color w:val="000000"/>
                <w:kern w:val="0"/>
                <w:sz w:val="16"/>
                <w:szCs w:val="16"/>
              </w:rPr>
            </w:pPr>
          </w:p>
        </w:tc>
        <w:tc>
          <w:tcPr>
            <w:tcW w:w="988" w:type="dxa"/>
            <w:vMerge w:val="continue"/>
            <w:vAlign w:val="center"/>
          </w:tcPr>
          <w:p w14:paraId="23B08E06">
            <w:pPr>
              <w:widowControl/>
              <w:jc w:val="left"/>
              <w:rPr>
                <w:rFonts w:ascii="宋体" w:hAnsi="宋体" w:cs="宋体"/>
                <w:color w:val="000000"/>
                <w:kern w:val="0"/>
                <w:sz w:val="16"/>
                <w:szCs w:val="16"/>
              </w:rPr>
            </w:pPr>
          </w:p>
        </w:tc>
        <w:tc>
          <w:tcPr>
            <w:tcW w:w="1081" w:type="dxa"/>
            <w:vMerge w:val="continue"/>
            <w:vAlign w:val="center"/>
          </w:tcPr>
          <w:p w14:paraId="47453307">
            <w:pPr>
              <w:widowControl/>
              <w:jc w:val="left"/>
              <w:rPr>
                <w:rFonts w:ascii="宋体" w:hAnsi="宋体" w:cs="宋体"/>
                <w:color w:val="000000"/>
                <w:kern w:val="0"/>
                <w:sz w:val="16"/>
                <w:szCs w:val="16"/>
              </w:rPr>
            </w:pPr>
          </w:p>
        </w:tc>
        <w:tc>
          <w:tcPr>
            <w:tcW w:w="1240" w:type="dxa"/>
            <w:vMerge w:val="continue"/>
            <w:vAlign w:val="center"/>
          </w:tcPr>
          <w:p w14:paraId="44C36BE2">
            <w:pPr>
              <w:widowControl/>
              <w:jc w:val="left"/>
              <w:rPr>
                <w:rFonts w:ascii="宋体" w:hAnsi="宋体" w:cs="宋体"/>
                <w:color w:val="000000"/>
                <w:kern w:val="0"/>
                <w:sz w:val="16"/>
                <w:szCs w:val="16"/>
              </w:rPr>
            </w:pPr>
          </w:p>
        </w:tc>
        <w:tc>
          <w:tcPr>
            <w:tcW w:w="1036" w:type="dxa"/>
            <w:vMerge w:val="continue"/>
            <w:vAlign w:val="center"/>
          </w:tcPr>
          <w:p w14:paraId="180E9CDD">
            <w:pPr>
              <w:widowControl/>
              <w:jc w:val="left"/>
              <w:rPr>
                <w:rFonts w:ascii="宋体" w:hAnsi="宋体" w:cs="宋体"/>
                <w:color w:val="000000"/>
                <w:kern w:val="0"/>
                <w:sz w:val="16"/>
                <w:szCs w:val="16"/>
              </w:rPr>
            </w:pPr>
          </w:p>
        </w:tc>
        <w:tc>
          <w:tcPr>
            <w:tcW w:w="2148" w:type="dxa"/>
            <w:shd w:val="clear" w:color="auto" w:fill="auto"/>
            <w:vAlign w:val="center"/>
          </w:tcPr>
          <w:p w14:paraId="03A48303">
            <w:pPr>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未开展</w:t>
            </w:r>
          </w:p>
        </w:tc>
        <w:tc>
          <w:tcPr>
            <w:tcW w:w="456" w:type="dxa"/>
            <w:shd w:val="clear" w:color="auto" w:fill="auto"/>
            <w:vAlign w:val="center"/>
          </w:tcPr>
          <w:p w14:paraId="5942AA7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6D923653">
            <w:pPr>
              <w:widowControl/>
              <w:jc w:val="left"/>
              <w:rPr>
                <w:rFonts w:ascii="黑体" w:hAnsi="黑体" w:eastAsia="黑体" w:cs="宋体"/>
                <w:color w:val="000000"/>
                <w:kern w:val="0"/>
                <w:sz w:val="16"/>
                <w:szCs w:val="16"/>
              </w:rPr>
            </w:pPr>
          </w:p>
        </w:tc>
      </w:tr>
      <w:tr w14:paraId="662B71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80" w:type="dxa"/>
            <w:vMerge w:val="continue"/>
            <w:vAlign w:val="center"/>
          </w:tcPr>
          <w:p w14:paraId="7A1353E0">
            <w:pPr>
              <w:widowControl/>
              <w:jc w:val="left"/>
              <w:rPr>
                <w:rFonts w:ascii="等线" w:hAnsi="等线" w:eastAsia="等线" w:cs="宋体"/>
                <w:color w:val="000000"/>
                <w:kern w:val="0"/>
                <w:sz w:val="16"/>
                <w:szCs w:val="16"/>
              </w:rPr>
            </w:pPr>
          </w:p>
        </w:tc>
        <w:tc>
          <w:tcPr>
            <w:tcW w:w="830" w:type="dxa"/>
            <w:vMerge w:val="continue"/>
            <w:vAlign w:val="center"/>
          </w:tcPr>
          <w:p w14:paraId="5285A1B9">
            <w:pPr>
              <w:widowControl/>
              <w:jc w:val="left"/>
              <w:rPr>
                <w:rFonts w:ascii="宋体" w:hAnsi="宋体" w:cs="宋体"/>
                <w:color w:val="000000"/>
                <w:kern w:val="0"/>
                <w:sz w:val="16"/>
                <w:szCs w:val="16"/>
              </w:rPr>
            </w:pPr>
          </w:p>
        </w:tc>
        <w:tc>
          <w:tcPr>
            <w:tcW w:w="988" w:type="dxa"/>
            <w:vMerge w:val="continue"/>
            <w:vAlign w:val="center"/>
          </w:tcPr>
          <w:p w14:paraId="6B9A1F08">
            <w:pPr>
              <w:widowControl/>
              <w:jc w:val="left"/>
              <w:rPr>
                <w:rFonts w:ascii="宋体" w:hAnsi="宋体" w:cs="宋体"/>
                <w:color w:val="000000"/>
                <w:kern w:val="0"/>
                <w:sz w:val="16"/>
                <w:szCs w:val="16"/>
              </w:rPr>
            </w:pPr>
          </w:p>
        </w:tc>
        <w:tc>
          <w:tcPr>
            <w:tcW w:w="1081" w:type="dxa"/>
            <w:vMerge w:val="restart"/>
            <w:shd w:val="clear" w:color="auto" w:fill="auto"/>
            <w:vAlign w:val="center"/>
          </w:tcPr>
          <w:p w14:paraId="12A5542B">
            <w:pPr>
              <w:widowControl/>
              <w:jc w:val="center"/>
              <w:rPr>
                <w:rFonts w:ascii="宋体" w:hAnsi="宋体" w:cs="宋体"/>
                <w:color w:val="000000"/>
                <w:kern w:val="0"/>
                <w:sz w:val="16"/>
                <w:szCs w:val="16"/>
              </w:rPr>
            </w:pPr>
            <w:r>
              <w:rPr>
                <w:rFonts w:hint="eastAsia" w:ascii="宋体" w:hAnsi="宋体" w:cs="宋体"/>
                <w:color w:val="000000"/>
                <w:kern w:val="0"/>
                <w:sz w:val="16"/>
                <w:szCs w:val="16"/>
              </w:rPr>
              <w:t>原材料和部件检验</w:t>
            </w:r>
          </w:p>
        </w:tc>
        <w:tc>
          <w:tcPr>
            <w:tcW w:w="1240" w:type="dxa"/>
            <w:vMerge w:val="restart"/>
            <w:shd w:val="clear" w:color="auto" w:fill="auto"/>
            <w:vAlign w:val="center"/>
          </w:tcPr>
          <w:p w14:paraId="6B9ABC93">
            <w:pPr>
              <w:widowControl/>
              <w:jc w:val="center"/>
              <w:rPr>
                <w:rFonts w:ascii="宋体" w:hAnsi="宋体" w:cs="宋体"/>
                <w:color w:val="000000"/>
                <w:kern w:val="0"/>
                <w:sz w:val="16"/>
                <w:szCs w:val="16"/>
              </w:rPr>
            </w:pPr>
            <w:r>
              <w:rPr>
                <w:rFonts w:hint="eastAsia" w:ascii="宋体" w:hAnsi="宋体" w:cs="宋体"/>
                <w:color w:val="000000"/>
                <w:kern w:val="0"/>
                <w:sz w:val="16"/>
                <w:szCs w:val="16"/>
              </w:rPr>
              <w:t>合格率</w:t>
            </w:r>
          </w:p>
        </w:tc>
        <w:tc>
          <w:tcPr>
            <w:tcW w:w="1036" w:type="dxa"/>
            <w:vMerge w:val="restart"/>
            <w:shd w:val="clear" w:color="auto" w:fill="auto"/>
            <w:vAlign w:val="center"/>
          </w:tcPr>
          <w:p w14:paraId="2A415421">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2745523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100%</w:t>
            </w:r>
          </w:p>
        </w:tc>
        <w:tc>
          <w:tcPr>
            <w:tcW w:w="456" w:type="dxa"/>
            <w:shd w:val="clear" w:color="000000" w:fill="D9D9D9"/>
            <w:vAlign w:val="center"/>
          </w:tcPr>
          <w:p w14:paraId="2970458D">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20</w:t>
            </w:r>
          </w:p>
        </w:tc>
        <w:tc>
          <w:tcPr>
            <w:tcW w:w="1043" w:type="dxa"/>
            <w:gridSpan w:val="2"/>
            <w:vMerge w:val="continue"/>
            <w:vAlign w:val="center"/>
          </w:tcPr>
          <w:p w14:paraId="5328FAD4">
            <w:pPr>
              <w:widowControl/>
              <w:jc w:val="left"/>
              <w:rPr>
                <w:rFonts w:ascii="黑体" w:hAnsi="黑体" w:eastAsia="黑体" w:cs="宋体"/>
                <w:color w:val="000000"/>
                <w:kern w:val="0"/>
                <w:sz w:val="16"/>
                <w:szCs w:val="16"/>
              </w:rPr>
            </w:pPr>
          </w:p>
        </w:tc>
      </w:tr>
      <w:tr w14:paraId="41E39C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80" w:type="dxa"/>
            <w:vMerge w:val="continue"/>
            <w:vAlign w:val="center"/>
          </w:tcPr>
          <w:p w14:paraId="2BA3B296">
            <w:pPr>
              <w:widowControl/>
              <w:jc w:val="left"/>
              <w:rPr>
                <w:rFonts w:ascii="等线" w:hAnsi="等线" w:eastAsia="等线" w:cs="宋体"/>
                <w:color w:val="000000"/>
                <w:kern w:val="0"/>
                <w:sz w:val="16"/>
                <w:szCs w:val="16"/>
              </w:rPr>
            </w:pPr>
          </w:p>
        </w:tc>
        <w:tc>
          <w:tcPr>
            <w:tcW w:w="830" w:type="dxa"/>
            <w:vMerge w:val="continue"/>
            <w:vAlign w:val="center"/>
          </w:tcPr>
          <w:p w14:paraId="4206E947">
            <w:pPr>
              <w:widowControl/>
              <w:jc w:val="left"/>
              <w:rPr>
                <w:rFonts w:ascii="宋体" w:hAnsi="宋体" w:cs="宋体"/>
                <w:color w:val="000000"/>
                <w:kern w:val="0"/>
                <w:sz w:val="16"/>
                <w:szCs w:val="16"/>
              </w:rPr>
            </w:pPr>
          </w:p>
        </w:tc>
        <w:tc>
          <w:tcPr>
            <w:tcW w:w="988" w:type="dxa"/>
            <w:vMerge w:val="continue"/>
            <w:vAlign w:val="center"/>
          </w:tcPr>
          <w:p w14:paraId="1E3018E5">
            <w:pPr>
              <w:widowControl/>
              <w:jc w:val="left"/>
              <w:rPr>
                <w:rFonts w:ascii="宋体" w:hAnsi="宋体" w:cs="宋体"/>
                <w:color w:val="000000"/>
                <w:kern w:val="0"/>
                <w:sz w:val="16"/>
                <w:szCs w:val="16"/>
              </w:rPr>
            </w:pPr>
          </w:p>
        </w:tc>
        <w:tc>
          <w:tcPr>
            <w:tcW w:w="1081" w:type="dxa"/>
            <w:vMerge w:val="continue"/>
            <w:vAlign w:val="center"/>
          </w:tcPr>
          <w:p w14:paraId="3637C356">
            <w:pPr>
              <w:widowControl/>
              <w:jc w:val="left"/>
              <w:rPr>
                <w:rFonts w:ascii="宋体" w:hAnsi="宋体" w:cs="宋体"/>
                <w:color w:val="000000"/>
                <w:kern w:val="0"/>
                <w:sz w:val="16"/>
                <w:szCs w:val="16"/>
              </w:rPr>
            </w:pPr>
          </w:p>
        </w:tc>
        <w:tc>
          <w:tcPr>
            <w:tcW w:w="1240" w:type="dxa"/>
            <w:vMerge w:val="continue"/>
            <w:vAlign w:val="center"/>
          </w:tcPr>
          <w:p w14:paraId="144D9249">
            <w:pPr>
              <w:widowControl/>
              <w:jc w:val="left"/>
              <w:rPr>
                <w:rFonts w:ascii="宋体" w:hAnsi="宋体" w:cs="宋体"/>
                <w:color w:val="000000"/>
                <w:kern w:val="0"/>
                <w:sz w:val="16"/>
                <w:szCs w:val="16"/>
              </w:rPr>
            </w:pPr>
          </w:p>
        </w:tc>
        <w:tc>
          <w:tcPr>
            <w:tcW w:w="1036" w:type="dxa"/>
            <w:vMerge w:val="continue"/>
            <w:vAlign w:val="center"/>
          </w:tcPr>
          <w:p w14:paraId="7EF1BE67">
            <w:pPr>
              <w:widowControl/>
              <w:jc w:val="left"/>
              <w:rPr>
                <w:rFonts w:ascii="宋体" w:hAnsi="宋体" w:cs="宋体"/>
                <w:color w:val="000000"/>
                <w:kern w:val="0"/>
                <w:sz w:val="16"/>
                <w:szCs w:val="16"/>
              </w:rPr>
            </w:pPr>
          </w:p>
        </w:tc>
        <w:tc>
          <w:tcPr>
            <w:tcW w:w="2148" w:type="dxa"/>
            <w:shd w:val="clear" w:color="auto" w:fill="auto"/>
            <w:vAlign w:val="center"/>
          </w:tcPr>
          <w:p w14:paraId="1B2264FD">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[98%，100%</w:t>
            </w:r>
            <w:r>
              <w:rPr>
                <w:rFonts w:ascii="宋体" w:hAnsi="宋体" w:cs="宋体"/>
                <w:color w:val="000000"/>
                <w:kern w:val="0"/>
                <w:sz w:val="16"/>
                <w:szCs w:val="16"/>
              </w:rPr>
              <w:t>)</w:t>
            </w:r>
          </w:p>
        </w:tc>
        <w:tc>
          <w:tcPr>
            <w:tcW w:w="456" w:type="dxa"/>
            <w:shd w:val="clear" w:color="auto" w:fill="auto"/>
            <w:vAlign w:val="center"/>
          </w:tcPr>
          <w:p w14:paraId="11890339">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12</w:t>
            </w:r>
          </w:p>
        </w:tc>
        <w:tc>
          <w:tcPr>
            <w:tcW w:w="1043" w:type="dxa"/>
            <w:gridSpan w:val="2"/>
            <w:vMerge w:val="continue"/>
            <w:vAlign w:val="center"/>
          </w:tcPr>
          <w:p w14:paraId="504D55DB">
            <w:pPr>
              <w:widowControl/>
              <w:jc w:val="left"/>
              <w:rPr>
                <w:rFonts w:ascii="黑体" w:hAnsi="黑体" w:eastAsia="黑体" w:cs="宋体"/>
                <w:color w:val="000000"/>
                <w:kern w:val="0"/>
                <w:sz w:val="16"/>
                <w:szCs w:val="16"/>
              </w:rPr>
            </w:pPr>
          </w:p>
        </w:tc>
      </w:tr>
      <w:tr w14:paraId="3B1FC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80" w:type="dxa"/>
            <w:vMerge w:val="continue"/>
            <w:vAlign w:val="center"/>
          </w:tcPr>
          <w:p w14:paraId="53FADACB">
            <w:pPr>
              <w:widowControl/>
              <w:jc w:val="left"/>
              <w:rPr>
                <w:rFonts w:ascii="等线" w:hAnsi="等线" w:eastAsia="等线" w:cs="宋体"/>
                <w:color w:val="000000"/>
                <w:kern w:val="0"/>
                <w:sz w:val="16"/>
                <w:szCs w:val="16"/>
              </w:rPr>
            </w:pPr>
          </w:p>
        </w:tc>
        <w:tc>
          <w:tcPr>
            <w:tcW w:w="830" w:type="dxa"/>
            <w:vMerge w:val="continue"/>
            <w:vAlign w:val="center"/>
          </w:tcPr>
          <w:p w14:paraId="59A86F57">
            <w:pPr>
              <w:widowControl/>
              <w:jc w:val="left"/>
              <w:rPr>
                <w:rFonts w:ascii="宋体" w:hAnsi="宋体" w:cs="宋体"/>
                <w:color w:val="000000"/>
                <w:kern w:val="0"/>
                <w:sz w:val="16"/>
                <w:szCs w:val="16"/>
              </w:rPr>
            </w:pPr>
          </w:p>
        </w:tc>
        <w:tc>
          <w:tcPr>
            <w:tcW w:w="988" w:type="dxa"/>
            <w:vMerge w:val="continue"/>
            <w:vAlign w:val="center"/>
          </w:tcPr>
          <w:p w14:paraId="2DC45564">
            <w:pPr>
              <w:widowControl/>
              <w:jc w:val="left"/>
              <w:rPr>
                <w:rFonts w:ascii="宋体" w:hAnsi="宋体" w:cs="宋体"/>
                <w:color w:val="000000"/>
                <w:kern w:val="0"/>
                <w:sz w:val="16"/>
                <w:szCs w:val="16"/>
              </w:rPr>
            </w:pPr>
          </w:p>
        </w:tc>
        <w:tc>
          <w:tcPr>
            <w:tcW w:w="1081" w:type="dxa"/>
            <w:vMerge w:val="continue"/>
            <w:vAlign w:val="center"/>
          </w:tcPr>
          <w:p w14:paraId="600CAFAC">
            <w:pPr>
              <w:widowControl/>
              <w:jc w:val="left"/>
              <w:rPr>
                <w:rFonts w:ascii="宋体" w:hAnsi="宋体" w:cs="宋体"/>
                <w:color w:val="000000"/>
                <w:kern w:val="0"/>
                <w:sz w:val="16"/>
                <w:szCs w:val="16"/>
              </w:rPr>
            </w:pPr>
          </w:p>
        </w:tc>
        <w:tc>
          <w:tcPr>
            <w:tcW w:w="1240" w:type="dxa"/>
            <w:vMerge w:val="continue"/>
            <w:vAlign w:val="center"/>
          </w:tcPr>
          <w:p w14:paraId="61BC4B39">
            <w:pPr>
              <w:widowControl/>
              <w:jc w:val="left"/>
              <w:rPr>
                <w:rFonts w:ascii="宋体" w:hAnsi="宋体" w:cs="宋体"/>
                <w:color w:val="000000"/>
                <w:kern w:val="0"/>
                <w:sz w:val="16"/>
                <w:szCs w:val="16"/>
              </w:rPr>
            </w:pPr>
          </w:p>
        </w:tc>
        <w:tc>
          <w:tcPr>
            <w:tcW w:w="1036" w:type="dxa"/>
            <w:vMerge w:val="continue"/>
            <w:vAlign w:val="center"/>
          </w:tcPr>
          <w:p w14:paraId="0F9EBF93">
            <w:pPr>
              <w:widowControl/>
              <w:jc w:val="left"/>
              <w:rPr>
                <w:rFonts w:ascii="宋体" w:hAnsi="宋体" w:cs="宋体"/>
                <w:color w:val="000000"/>
                <w:kern w:val="0"/>
                <w:sz w:val="16"/>
                <w:szCs w:val="16"/>
              </w:rPr>
            </w:pPr>
          </w:p>
        </w:tc>
        <w:tc>
          <w:tcPr>
            <w:tcW w:w="2148" w:type="dxa"/>
            <w:shd w:val="clear" w:color="auto" w:fill="auto"/>
            <w:vAlign w:val="center"/>
          </w:tcPr>
          <w:p w14:paraId="5828132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[95%，98%)</w:t>
            </w:r>
          </w:p>
        </w:tc>
        <w:tc>
          <w:tcPr>
            <w:tcW w:w="456" w:type="dxa"/>
            <w:shd w:val="clear" w:color="auto" w:fill="auto"/>
            <w:vAlign w:val="center"/>
          </w:tcPr>
          <w:p w14:paraId="147404E8">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8</w:t>
            </w:r>
          </w:p>
        </w:tc>
        <w:tc>
          <w:tcPr>
            <w:tcW w:w="1043" w:type="dxa"/>
            <w:gridSpan w:val="2"/>
            <w:vMerge w:val="continue"/>
            <w:vAlign w:val="center"/>
          </w:tcPr>
          <w:p w14:paraId="41ECF92B">
            <w:pPr>
              <w:widowControl/>
              <w:jc w:val="left"/>
              <w:rPr>
                <w:rFonts w:ascii="黑体" w:hAnsi="黑体" w:eastAsia="黑体" w:cs="宋体"/>
                <w:color w:val="000000"/>
                <w:kern w:val="0"/>
                <w:sz w:val="16"/>
                <w:szCs w:val="16"/>
              </w:rPr>
            </w:pPr>
          </w:p>
        </w:tc>
      </w:tr>
      <w:tr w14:paraId="2860B9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80" w:type="dxa"/>
            <w:vMerge w:val="continue"/>
            <w:vAlign w:val="center"/>
          </w:tcPr>
          <w:p w14:paraId="4DE1EC9F">
            <w:pPr>
              <w:widowControl/>
              <w:jc w:val="left"/>
              <w:rPr>
                <w:rFonts w:ascii="等线" w:hAnsi="等线" w:eastAsia="等线" w:cs="宋体"/>
                <w:color w:val="000000"/>
                <w:kern w:val="0"/>
                <w:sz w:val="16"/>
                <w:szCs w:val="16"/>
              </w:rPr>
            </w:pPr>
          </w:p>
        </w:tc>
        <w:tc>
          <w:tcPr>
            <w:tcW w:w="830" w:type="dxa"/>
            <w:vMerge w:val="continue"/>
            <w:vAlign w:val="center"/>
          </w:tcPr>
          <w:p w14:paraId="6F3F7AAF">
            <w:pPr>
              <w:widowControl/>
              <w:jc w:val="left"/>
              <w:rPr>
                <w:rFonts w:ascii="宋体" w:hAnsi="宋体" w:cs="宋体"/>
                <w:color w:val="000000"/>
                <w:kern w:val="0"/>
                <w:sz w:val="16"/>
                <w:szCs w:val="16"/>
              </w:rPr>
            </w:pPr>
          </w:p>
        </w:tc>
        <w:tc>
          <w:tcPr>
            <w:tcW w:w="988" w:type="dxa"/>
            <w:vMerge w:val="continue"/>
            <w:vAlign w:val="center"/>
          </w:tcPr>
          <w:p w14:paraId="71526D21">
            <w:pPr>
              <w:widowControl/>
              <w:jc w:val="left"/>
              <w:rPr>
                <w:rFonts w:ascii="宋体" w:hAnsi="宋体" w:cs="宋体"/>
                <w:color w:val="000000"/>
                <w:kern w:val="0"/>
                <w:sz w:val="16"/>
                <w:szCs w:val="16"/>
              </w:rPr>
            </w:pPr>
          </w:p>
        </w:tc>
        <w:tc>
          <w:tcPr>
            <w:tcW w:w="1081" w:type="dxa"/>
            <w:vMerge w:val="continue"/>
            <w:vAlign w:val="center"/>
          </w:tcPr>
          <w:p w14:paraId="02317803">
            <w:pPr>
              <w:widowControl/>
              <w:jc w:val="left"/>
              <w:rPr>
                <w:rFonts w:ascii="宋体" w:hAnsi="宋体" w:cs="宋体"/>
                <w:color w:val="000000"/>
                <w:kern w:val="0"/>
                <w:sz w:val="16"/>
                <w:szCs w:val="16"/>
              </w:rPr>
            </w:pPr>
          </w:p>
        </w:tc>
        <w:tc>
          <w:tcPr>
            <w:tcW w:w="1240" w:type="dxa"/>
            <w:vMerge w:val="continue"/>
            <w:vAlign w:val="center"/>
          </w:tcPr>
          <w:p w14:paraId="3ED5C9A8">
            <w:pPr>
              <w:widowControl/>
              <w:jc w:val="left"/>
              <w:rPr>
                <w:rFonts w:ascii="宋体" w:hAnsi="宋体" w:cs="宋体"/>
                <w:color w:val="000000"/>
                <w:kern w:val="0"/>
                <w:sz w:val="16"/>
                <w:szCs w:val="16"/>
              </w:rPr>
            </w:pPr>
          </w:p>
        </w:tc>
        <w:tc>
          <w:tcPr>
            <w:tcW w:w="1036" w:type="dxa"/>
            <w:vMerge w:val="continue"/>
            <w:vAlign w:val="center"/>
          </w:tcPr>
          <w:p w14:paraId="2AA5FF36">
            <w:pPr>
              <w:widowControl/>
              <w:jc w:val="left"/>
              <w:rPr>
                <w:rFonts w:ascii="宋体" w:hAnsi="宋体" w:cs="宋体"/>
                <w:color w:val="000000"/>
                <w:kern w:val="0"/>
                <w:sz w:val="16"/>
                <w:szCs w:val="16"/>
              </w:rPr>
            </w:pPr>
          </w:p>
        </w:tc>
        <w:tc>
          <w:tcPr>
            <w:tcW w:w="2148" w:type="dxa"/>
            <w:shd w:val="clear" w:color="auto" w:fill="auto"/>
            <w:vAlign w:val="center"/>
          </w:tcPr>
          <w:p w14:paraId="3D3C888B">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[90%，95%)</w:t>
            </w:r>
          </w:p>
        </w:tc>
        <w:tc>
          <w:tcPr>
            <w:tcW w:w="456" w:type="dxa"/>
            <w:shd w:val="clear" w:color="auto" w:fill="auto"/>
            <w:vAlign w:val="center"/>
          </w:tcPr>
          <w:p w14:paraId="564F12BD">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328EB91F">
            <w:pPr>
              <w:widowControl/>
              <w:jc w:val="left"/>
              <w:rPr>
                <w:rFonts w:ascii="黑体" w:hAnsi="黑体" w:eastAsia="黑体" w:cs="宋体"/>
                <w:color w:val="000000"/>
                <w:kern w:val="0"/>
                <w:sz w:val="16"/>
                <w:szCs w:val="16"/>
              </w:rPr>
            </w:pPr>
          </w:p>
        </w:tc>
      </w:tr>
      <w:tr w14:paraId="118C71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80" w:type="dxa"/>
            <w:vMerge w:val="continue"/>
            <w:vAlign w:val="center"/>
          </w:tcPr>
          <w:p w14:paraId="21BED18D">
            <w:pPr>
              <w:widowControl/>
              <w:jc w:val="left"/>
              <w:rPr>
                <w:rFonts w:ascii="等线" w:hAnsi="等线" w:eastAsia="等线" w:cs="宋体"/>
                <w:color w:val="000000"/>
                <w:kern w:val="0"/>
                <w:sz w:val="16"/>
                <w:szCs w:val="16"/>
              </w:rPr>
            </w:pPr>
          </w:p>
        </w:tc>
        <w:tc>
          <w:tcPr>
            <w:tcW w:w="830" w:type="dxa"/>
            <w:vMerge w:val="continue"/>
            <w:vAlign w:val="center"/>
          </w:tcPr>
          <w:p w14:paraId="3079C333">
            <w:pPr>
              <w:widowControl/>
              <w:jc w:val="left"/>
              <w:rPr>
                <w:rFonts w:ascii="宋体" w:hAnsi="宋体" w:cs="宋体"/>
                <w:color w:val="000000"/>
                <w:kern w:val="0"/>
                <w:sz w:val="16"/>
                <w:szCs w:val="16"/>
              </w:rPr>
            </w:pPr>
          </w:p>
        </w:tc>
        <w:tc>
          <w:tcPr>
            <w:tcW w:w="988" w:type="dxa"/>
            <w:vMerge w:val="continue"/>
            <w:vAlign w:val="center"/>
          </w:tcPr>
          <w:p w14:paraId="4A423F1D">
            <w:pPr>
              <w:widowControl/>
              <w:jc w:val="left"/>
              <w:rPr>
                <w:rFonts w:ascii="宋体" w:hAnsi="宋体" w:cs="宋体"/>
                <w:color w:val="000000"/>
                <w:kern w:val="0"/>
                <w:sz w:val="16"/>
                <w:szCs w:val="16"/>
              </w:rPr>
            </w:pPr>
          </w:p>
        </w:tc>
        <w:tc>
          <w:tcPr>
            <w:tcW w:w="1081" w:type="dxa"/>
            <w:vMerge w:val="continue"/>
            <w:vAlign w:val="center"/>
          </w:tcPr>
          <w:p w14:paraId="6A7C0F3A">
            <w:pPr>
              <w:widowControl/>
              <w:jc w:val="left"/>
              <w:rPr>
                <w:rFonts w:ascii="宋体" w:hAnsi="宋体" w:cs="宋体"/>
                <w:color w:val="000000"/>
                <w:kern w:val="0"/>
                <w:sz w:val="16"/>
                <w:szCs w:val="16"/>
              </w:rPr>
            </w:pPr>
          </w:p>
        </w:tc>
        <w:tc>
          <w:tcPr>
            <w:tcW w:w="1240" w:type="dxa"/>
            <w:vMerge w:val="continue"/>
            <w:vAlign w:val="center"/>
          </w:tcPr>
          <w:p w14:paraId="34612027">
            <w:pPr>
              <w:widowControl/>
              <w:jc w:val="left"/>
              <w:rPr>
                <w:rFonts w:ascii="宋体" w:hAnsi="宋体" w:cs="宋体"/>
                <w:color w:val="000000"/>
                <w:kern w:val="0"/>
                <w:sz w:val="16"/>
                <w:szCs w:val="16"/>
              </w:rPr>
            </w:pPr>
          </w:p>
        </w:tc>
        <w:tc>
          <w:tcPr>
            <w:tcW w:w="1036" w:type="dxa"/>
            <w:vMerge w:val="continue"/>
            <w:vAlign w:val="center"/>
          </w:tcPr>
          <w:p w14:paraId="0D1B4A38">
            <w:pPr>
              <w:widowControl/>
              <w:jc w:val="left"/>
              <w:rPr>
                <w:rFonts w:ascii="宋体" w:hAnsi="宋体" w:cs="宋体"/>
                <w:color w:val="000000"/>
                <w:kern w:val="0"/>
                <w:sz w:val="16"/>
                <w:szCs w:val="16"/>
              </w:rPr>
            </w:pPr>
          </w:p>
        </w:tc>
        <w:tc>
          <w:tcPr>
            <w:tcW w:w="2148" w:type="dxa"/>
            <w:shd w:val="clear" w:color="auto" w:fill="auto"/>
            <w:vAlign w:val="center"/>
          </w:tcPr>
          <w:p w14:paraId="6AFAF5D9">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＜90%</w:t>
            </w:r>
          </w:p>
        </w:tc>
        <w:tc>
          <w:tcPr>
            <w:tcW w:w="456" w:type="dxa"/>
            <w:shd w:val="clear" w:color="auto" w:fill="auto"/>
            <w:vAlign w:val="center"/>
          </w:tcPr>
          <w:p w14:paraId="38B665D1">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486CD0A0">
            <w:pPr>
              <w:widowControl/>
              <w:jc w:val="left"/>
              <w:rPr>
                <w:rFonts w:ascii="黑体" w:hAnsi="黑体" w:eastAsia="黑体" w:cs="宋体"/>
                <w:color w:val="000000"/>
                <w:kern w:val="0"/>
                <w:sz w:val="16"/>
                <w:szCs w:val="16"/>
              </w:rPr>
            </w:pPr>
          </w:p>
        </w:tc>
      </w:tr>
      <w:tr w14:paraId="11DF12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53F7947A">
            <w:pPr>
              <w:widowControl/>
              <w:jc w:val="left"/>
              <w:rPr>
                <w:rFonts w:ascii="等线" w:hAnsi="等线" w:eastAsia="等线" w:cs="宋体"/>
                <w:color w:val="000000"/>
                <w:kern w:val="0"/>
                <w:sz w:val="16"/>
                <w:szCs w:val="16"/>
              </w:rPr>
            </w:pPr>
          </w:p>
        </w:tc>
        <w:tc>
          <w:tcPr>
            <w:tcW w:w="830" w:type="dxa"/>
            <w:vMerge w:val="continue"/>
            <w:vAlign w:val="center"/>
          </w:tcPr>
          <w:p w14:paraId="5C07EA94">
            <w:pPr>
              <w:widowControl/>
              <w:jc w:val="left"/>
              <w:rPr>
                <w:rFonts w:ascii="宋体" w:hAnsi="宋体" w:cs="宋体"/>
                <w:color w:val="000000"/>
                <w:kern w:val="0"/>
                <w:sz w:val="16"/>
                <w:szCs w:val="16"/>
              </w:rPr>
            </w:pPr>
          </w:p>
        </w:tc>
        <w:tc>
          <w:tcPr>
            <w:tcW w:w="988" w:type="dxa"/>
            <w:vMerge w:val="restart"/>
            <w:shd w:val="clear" w:color="auto" w:fill="auto"/>
            <w:vAlign w:val="center"/>
          </w:tcPr>
          <w:p w14:paraId="36BF1CF0">
            <w:pPr>
              <w:widowControl/>
              <w:jc w:val="center"/>
              <w:rPr>
                <w:rFonts w:ascii="宋体" w:hAnsi="宋体" w:cs="宋体"/>
                <w:color w:val="000000"/>
                <w:kern w:val="0"/>
                <w:sz w:val="16"/>
                <w:szCs w:val="16"/>
              </w:rPr>
            </w:pPr>
            <w:r>
              <w:rPr>
                <w:rFonts w:hint="eastAsia" w:ascii="宋体" w:hAnsi="宋体" w:cs="宋体"/>
                <w:color w:val="000000"/>
                <w:kern w:val="0"/>
                <w:sz w:val="16"/>
                <w:szCs w:val="16"/>
              </w:rPr>
              <w:t>关键工序检验</w:t>
            </w:r>
          </w:p>
        </w:tc>
        <w:tc>
          <w:tcPr>
            <w:tcW w:w="1081" w:type="dxa"/>
            <w:vMerge w:val="restart"/>
            <w:shd w:val="clear" w:color="auto" w:fill="auto"/>
            <w:vAlign w:val="center"/>
          </w:tcPr>
          <w:p w14:paraId="5CC5EF9D">
            <w:pPr>
              <w:widowControl/>
              <w:jc w:val="center"/>
              <w:rPr>
                <w:rFonts w:ascii="宋体" w:hAnsi="宋体" w:cs="宋体"/>
                <w:color w:val="000000"/>
                <w:kern w:val="0"/>
                <w:sz w:val="16"/>
                <w:szCs w:val="16"/>
              </w:rPr>
            </w:pPr>
            <w:r>
              <w:rPr>
                <w:rFonts w:hint="eastAsia" w:ascii="宋体" w:hAnsi="宋体" w:cs="宋体"/>
                <w:color w:val="000000"/>
                <w:kern w:val="0"/>
                <w:sz w:val="16"/>
                <w:szCs w:val="16"/>
              </w:rPr>
              <w:t>过程检验</w:t>
            </w:r>
          </w:p>
        </w:tc>
        <w:tc>
          <w:tcPr>
            <w:tcW w:w="1240" w:type="dxa"/>
            <w:vMerge w:val="restart"/>
            <w:shd w:val="clear" w:color="auto" w:fill="auto"/>
            <w:vAlign w:val="center"/>
          </w:tcPr>
          <w:p w14:paraId="30863E5E">
            <w:pPr>
              <w:widowControl/>
              <w:jc w:val="center"/>
              <w:rPr>
                <w:rFonts w:ascii="宋体" w:hAnsi="宋体" w:cs="宋体"/>
                <w:color w:val="000000"/>
                <w:kern w:val="0"/>
                <w:sz w:val="16"/>
                <w:szCs w:val="16"/>
              </w:rPr>
            </w:pPr>
            <w:r>
              <w:rPr>
                <w:rFonts w:hint="eastAsia" w:ascii="宋体" w:hAnsi="宋体" w:cs="宋体"/>
                <w:color w:val="000000"/>
                <w:kern w:val="0"/>
                <w:sz w:val="16"/>
                <w:szCs w:val="16"/>
              </w:rPr>
              <w:t>合格率</w:t>
            </w:r>
          </w:p>
        </w:tc>
        <w:tc>
          <w:tcPr>
            <w:tcW w:w="1036" w:type="dxa"/>
            <w:vMerge w:val="restart"/>
            <w:shd w:val="clear" w:color="auto" w:fill="auto"/>
            <w:vAlign w:val="center"/>
          </w:tcPr>
          <w:p w14:paraId="291357F1">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6621907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100%</w:t>
            </w:r>
          </w:p>
        </w:tc>
        <w:tc>
          <w:tcPr>
            <w:tcW w:w="456" w:type="dxa"/>
            <w:shd w:val="clear" w:color="000000" w:fill="D9D9D9"/>
            <w:vAlign w:val="center"/>
          </w:tcPr>
          <w:p w14:paraId="30AF1B5D">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20</w:t>
            </w:r>
          </w:p>
        </w:tc>
        <w:tc>
          <w:tcPr>
            <w:tcW w:w="1043" w:type="dxa"/>
            <w:gridSpan w:val="2"/>
            <w:vMerge w:val="continue"/>
            <w:vAlign w:val="center"/>
          </w:tcPr>
          <w:p w14:paraId="48B9903B">
            <w:pPr>
              <w:widowControl/>
              <w:jc w:val="left"/>
              <w:rPr>
                <w:rFonts w:ascii="黑体" w:hAnsi="黑体" w:eastAsia="黑体" w:cs="宋体"/>
                <w:color w:val="000000"/>
                <w:kern w:val="0"/>
                <w:sz w:val="16"/>
                <w:szCs w:val="16"/>
              </w:rPr>
            </w:pPr>
          </w:p>
        </w:tc>
      </w:tr>
      <w:tr w14:paraId="6D682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35CD2EBF">
            <w:pPr>
              <w:widowControl/>
              <w:jc w:val="left"/>
              <w:rPr>
                <w:rFonts w:ascii="等线" w:hAnsi="等线" w:eastAsia="等线" w:cs="宋体"/>
                <w:color w:val="000000"/>
                <w:kern w:val="0"/>
                <w:sz w:val="16"/>
                <w:szCs w:val="16"/>
              </w:rPr>
            </w:pPr>
          </w:p>
        </w:tc>
        <w:tc>
          <w:tcPr>
            <w:tcW w:w="830" w:type="dxa"/>
            <w:vMerge w:val="continue"/>
            <w:vAlign w:val="center"/>
          </w:tcPr>
          <w:p w14:paraId="1B872005">
            <w:pPr>
              <w:widowControl/>
              <w:jc w:val="left"/>
              <w:rPr>
                <w:rFonts w:ascii="宋体" w:hAnsi="宋体" w:cs="宋体"/>
                <w:color w:val="000000"/>
                <w:kern w:val="0"/>
                <w:sz w:val="16"/>
                <w:szCs w:val="16"/>
              </w:rPr>
            </w:pPr>
          </w:p>
        </w:tc>
        <w:tc>
          <w:tcPr>
            <w:tcW w:w="988" w:type="dxa"/>
            <w:vMerge w:val="continue"/>
            <w:vAlign w:val="center"/>
          </w:tcPr>
          <w:p w14:paraId="29E40FFF">
            <w:pPr>
              <w:widowControl/>
              <w:jc w:val="left"/>
              <w:rPr>
                <w:rFonts w:ascii="宋体" w:hAnsi="宋体" w:cs="宋体"/>
                <w:color w:val="000000"/>
                <w:kern w:val="0"/>
                <w:sz w:val="16"/>
                <w:szCs w:val="16"/>
              </w:rPr>
            </w:pPr>
          </w:p>
        </w:tc>
        <w:tc>
          <w:tcPr>
            <w:tcW w:w="1081" w:type="dxa"/>
            <w:vMerge w:val="continue"/>
            <w:vAlign w:val="center"/>
          </w:tcPr>
          <w:p w14:paraId="2D467B9C">
            <w:pPr>
              <w:widowControl/>
              <w:jc w:val="left"/>
              <w:rPr>
                <w:rFonts w:ascii="宋体" w:hAnsi="宋体" w:cs="宋体"/>
                <w:color w:val="000000"/>
                <w:kern w:val="0"/>
                <w:sz w:val="16"/>
                <w:szCs w:val="16"/>
              </w:rPr>
            </w:pPr>
          </w:p>
        </w:tc>
        <w:tc>
          <w:tcPr>
            <w:tcW w:w="1240" w:type="dxa"/>
            <w:vMerge w:val="continue"/>
            <w:vAlign w:val="center"/>
          </w:tcPr>
          <w:p w14:paraId="0400DE93">
            <w:pPr>
              <w:widowControl/>
              <w:jc w:val="left"/>
              <w:rPr>
                <w:rFonts w:ascii="宋体" w:hAnsi="宋体" w:cs="宋体"/>
                <w:color w:val="000000"/>
                <w:kern w:val="0"/>
                <w:sz w:val="16"/>
                <w:szCs w:val="16"/>
              </w:rPr>
            </w:pPr>
          </w:p>
        </w:tc>
        <w:tc>
          <w:tcPr>
            <w:tcW w:w="1036" w:type="dxa"/>
            <w:vMerge w:val="continue"/>
            <w:vAlign w:val="center"/>
          </w:tcPr>
          <w:p w14:paraId="30676B25">
            <w:pPr>
              <w:widowControl/>
              <w:jc w:val="left"/>
              <w:rPr>
                <w:rFonts w:ascii="宋体" w:hAnsi="宋体" w:cs="宋体"/>
                <w:color w:val="000000"/>
                <w:kern w:val="0"/>
                <w:sz w:val="16"/>
                <w:szCs w:val="16"/>
              </w:rPr>
            </w:pPr>
          </w:p>
        </w:tc>
        <w:tc>
          <w:tcPr>
            <w:tcW w:w="2148" w:type="dxa"/>
            <w:shd w:val="clear" w:color="auto" w:fill="auto"/>
            <w:vAlign w:val="center"/>
          </w:tcPr>
          <w:p w14:paraId="0A8637B2">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[98%，100%</w:t>
            </w:r>
            <w:r>
              <w:rPr>
                <w:rFonts w:ascii="宋体" w:hAnsi="宋体" w:cs="宋体"/>
                <w:color w:val="000000"/>
                <w:kern w:val="0"/>
                <w:sz w:val="16"/>
                <w:szCs w:val="16"/>
              </w:rPr>
              <w:t>)</w:t>
            </w:r>
          </w:p>
        </w:tc>
        <w:tc>
          <w:tcPr>
            <w:tcW w:w="456" w:type="dxa"/>
            <w:shd w:val="clear" w:color="auto" w:fill="auto"/>
            <w:vAlign w:val="center"/>
          </w:tcPr>
          <w:p w14:paraId="5A13658E">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12</w:t>
            </w:r>
          </w:p>
        </w:tc>
        <w:tc>
          <w:tcPr>
            <w:tcW w:w="1043" w:type="dxa"/>
            <w:gridSpan w:val="2"/>
            <w:vMerge w:val="continue"/>
            <w:vAlign w:val="center"/>
          </w:tcPr>
          <w:p w14:paraId="352BD3C6">
            <w:pPr>
              <w:widowControl/>
              <w:jc w:val="left"/>
              <w:rPr>
                <w:rFonts w:ascii="黑体" w:hAnsi="黑体" w:eastAsia="黑体" w:cs="宋体"/>
                <w:color w:val="000000"/>
                <w:kern w:val="0"/>
                <w:sz w:val="16"/>
                <w:szCs w:val="16"/>
              </w:rPr>
            </w:pPr>
          </w:p>
        </w:tc>
      </w:tr>
      <w:tr w14:paraId="1002A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50DDAF7D">
            <w:pPr>
              <w:widowControl/>
              <w:jc w:val="left"/>
              <w:rPr>
                <w:rFonts w:ascii="等线" w:hAnsi="等线" w:eastAsia="等线" w:cs="宋体"/>
                <w:color w:val="000000"/>
                <w:kern w:val="0"/>
                <w:sz w:val="16"/>
                <w:szCs w:val="16"/>
              </w:rPr>
            </w:pPr>
          </w:p>
        </w:tc>
        <w:tc>
          <w:tcPr>
            <w:tcW w:w="830" w:type="dxa"/>
            <w:vMerge w:val="continue"/>
            <w:vAlign w:val="center"/>
          </w:tcPr>
          <w:p w14:paraId="63A22374">
            <w:pPr>
              <w:widowControl/>
              <w:jc w:val="left"/>
              <w:rPr>
                <w:rFonts w:ascii="宋体" w:hAnsi="宋体" w:cs="宋体"/>
                <w:color w:val="000000"/>
                <w:kern w:val="0"/>
                <w:sz w:val="16"/>
                <w:szCs w:val="16"/>
              </w:rPr>
            </w:pPr>
          </w:p>
        </w:tc>
        <w:tc>
          <w:tcPr>
            <w:tcW w:w="988" w:type="dxa"/>
            <w:vMerge w:val="continue"/>
            <w:vAlign w:val="center"/>
          </w:tcPr>
          <w:p w14:paraId="5E36F932">
            <w:pPr>
              <w:widowControl/>
              <w:jc w:val="left"/>
              <w:rPr>
                <w:rFonts w:ascii="宋体" w:hAnsi="宋体" w:cs="宋体"/>
                <w:color w:val="000000"/>
                <w:kern w:val="0"/>
                <w:sz w:val="16"/>
                <w:szCs w:val="16"/>
              </w:rPr>
            </w:pPr>
          </w:p>
        </w:tc>
        <w:tc>
          <w:tcPr>
            <w:tcW w:w="1081" w:type="dxa"/>
            <w:vMerge w:val="continue"/>
            <w:vAlign w:val="center"/>
          </w:tcPr>
          <w:p w14:paraId="7E02EE1E">
            <w:pPr>
              <w:widowControl/>
              <w:jc w:val="left"/>
              <w:rPr>
                <w:rFonts w:ascii="宋体" w:hAnsi="宋体" w:cs="宋体"/>
                <w:color w:val="000000"/>
                <w:kern w:val="0"/>
                <w:sz w:val="16"/>
                <w:szCs w:val="16"/>
              </w:rPr>
            </w:pPr>
          </w:p>
        </w:tc>
        <w:tc>
          <w:tcPr>
            <w:tcW w:w="1240" w:type="dxa"/>
            <w:vMerge w:val="continue"/>
            <w:vAlign w:val="center"/>
          </w:tcPr>
          <w:p w14:paraId="5175F7DF">
            <w:pPr>
              <w:widowControl/>
              <w:jc w:val="left"/>
              <w:rPr>
                <w:rFonts w:ascii="宋体" w:hAnsi="宋体" w:cs="宋体"/>
                <w:color w:val="000000"/>
                <w:kern w:val="0"/>
                <w:sz w:val="16"/>
                <w:szCs w:val="16"/>
              </w:rPr>
            </w:pPr>
          </w:p>
        </w:tc>
        <w:tc>
          <w:tcPr>
            <w:tcW w:w="1036" w:type="dxa"/>
            <w:vMerge w:val="continue"/>
            <w:vAlign w:val="center"/>
          </w:tcPr>
          <w:p w14:paraId="35B31355">
            <w:pPr>
              <w:widowControl/>
              <w:jc w:val="left"/>
              <w:rPr>
                <w:rFonts w:ascii="宋体" w:hAnsi="宋体" w:cs="宋体"/>
                <w:color w:val="000000"/>
                <w:kern w:val="0"/>
                <w:sz w:val="16"/>
                <w:szCs w:val="16"/>
              </w:rPr>
            </w:pPr>
          </w:p>
        </w:tc>
        <w:tc>
          <w:tcPr>
            <w:tcW w:w="2148" w:type="dxa"/>
            <w:shd w:val="clear" w:color="auto" w:fill="auto"/>
            <w:vAlign w:val="center"/>
          </w:tcPr>
          <w:p w14:paraId="31F97E3E">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[95%，98%)</w:t>
            </w:r>
          </w:p>
        </w:tc>
        <w:tc>
          <w:tcPr>
            <w:tcW w:w="456" w:type="dxa"/>
            <w:shd w:val="clear" w:color="auto" w:fill="auto"/>
            <w:vAlign w:val="center"/>
          </w:tcPr>
          <w:p w14:paraId="4B6CEC9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8</w:t>
            </w:r>
          </w:p>
        </w:tc>
        <w:tc>
          <w:tcPr>
            <w:tcW w:w="1043" w:type="dxa"/>
            <w:gridSpan w:val="2"/>
            <w:vMerge w:val="continue"/>
            <w:vAlign w:val="center"/>
          </w:tcPr>
          <w:p w14:paraId="2CBDFF94">
            <w:pPr>
              <w:widowControl/>
              <w:jc w:val="left"/>
              <w:rPr>
                <w:rFonts w:ascii="黑体" w:hAnsi="黑体" w:eastAsia="黑体" w:cs="宋体"/>
                <w:color w:val="000000"/>
                <w:kern w:val="0"/>
                <w:sz w:val="16"/>
                <w:szCs w:val="16"/>
              </w:rPr>
            </w:pPr>
          </w:p>
        </w:tc>
      </w:tr>
      <w:tr w14:paraId="2EA58C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4FFEDD80">
            <w:pPr>
              <w:widowControl/>
              <w:jc w:val="left"/>
              <w:rPr>
                <w:rFonts w:ascii="等线" w:hAnsi="等线" w:eastAsia="等线" w:cs="宋体"/>
                <w:color w:val="000000"/>
                <w:kern w:val="0"/>
                <w:sz w:val="16"/>
                <w:szCs w:val="16"/>
              </w:rPr>
            </w:pPr>
          </w:p>
        </w:tc>
        <w:tc>
          <w:tcPr>
            <w:tcW w:w="830" w:type="dxa"/>
            <w:vMerge w:val="continue"/>
            <w:vAlign w:val="center"/>
          </w:tcPr>
          <w:p w14:paraId="7F844CB1">
            <w:pPr>
              <w:widowControl/>
              <w:jc w:val="left"/>
              <w:rPr>
                <w:rFonts w:ascii="宋体" w:hAnsi="宋体" w:cs="宋体"/>
                <w:color w:val="000000"/>
                <w:kern w:val="0"/>
                <w:sz w:val="16"/>
                <w:szCs w:val="16"/>
              </w:rPr>
            </w:pPr>
          </w:p>
        </w:tc>
        <w:tc>
          <w:tcPr>
            <w:tcW w:w="988" w:type="dxa"/>
            <w:vMerge w:val="continue"/>
            <w:vAlign w:val="center"/>
          </w:tcPr>
          <w:p w14:paraId="117F104C">
            <w:pPr>
              <w:widowControl/>
              <w:jc w:val="left"/>
              <w:rPr>
                <w:rFonts w:ascii="宋体" w:hAnsi="宋体" w:cs="宋体"/>
                <w:color w:val="000000"/>
                <w:kern w:val="0"/>
                <w:sz w:val="16"/>
                <w:szCs w:val="16"/>
              </w:rPr>
            </w:pPr>
          </w:p>
        </w:tc>
        <w:tc>
          <w:tcPr>
            <w:tcW w:w="1081" w:type="dxa"/>
            <w:vMerge w:val="continue"/>
            <w:vAlign w:val="center"/>
          </w:tcPr>
          <w:p w14:paraId="52A0FFF6">
            <w:pPr>
              <w:widowControl/>
              <w:jc w:val="left"/>
              <w:rPr>
                <w:rFonts w:ascii="宋体" w:hAnsi="宋体" w:cs="宋体"/>
                <w:color w:val="000000"/>
                <w:kern w:val="0"/>
                <w:sz w:val="16"/>
                <w:szCs w:val="16"/>
              </w:rPr>
            </w:pPr>
          </w:p>
        </w:tc>
        <w:tc>
          <w:tcPr>
            <w:tcW w:w="1240" w:type="dxa"/>
            <w:vMerge w:val="continue"/>
            <w:vAlign w:val="center"/>
          </w:tcPr>
          <w:p w14:paraId="05885DBB">
            <w:pPr>
              <w:widowControl/>
              <w:jc w:val="left"/>
              <w:rPr>
                <w:rFonts w:ascii="宋体" w:hAnsi="宋体" w:cs="宋体"/>
                <w:color w:val="000000"/>
                <w:kern w:val="0"/>
                <w:sz w:val="16"/>
                <w:szCs w:val="16"/>
              </w:rPr>
            </w:pPr>
          </w:p>
        </w:tc>
        <w:tc>
          <w:tcPr>
            <w:tcW w:w="1036" w:type="dxa"/>
            <w:vMerge w:val="continue"/>
            <w:vAlign w:val="center"/>
          </w:tcPr>
          <w:p w14:paraId="5B808ED9">
            <w:pPr>
              <w:widowControl/>
              <w:jc w:val="left"/>
              <w:rPr>
                <w:rFonts w:ascii="宋体" w:hAnsi="宋体" w:cs="宋体"/>
                <w:color w:val="000000"/>
                <w:kern w:val="0"/>
                <w:sz w:val="16"/>
                <w:szCs w:val="16"/>
              </w:rPr>
            </w:pPr>
          </w:p>
        </w:tc>
        <w:tc>
          <w:tcPr>
            <w:tcW w:w="2148" w:type="dxa"/>
            <w:shd w:val="clear" w:color="auto" w:fill="auto"/>
            <w:vAlign w:val="center"/>
          </w:tcPr>
          <w:p w14:paraId="6DF4F259">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[90%，95%)</w:t>
            </w:r>
          </w:p>
        </w:tc>
        <w:tc>
          <w:tcPr>
            <w:tcW w:w="456" w:type="dxa"/>
            <w:shd w:val="clear" w:color="auto" w:fill="auto"/>
            <w:vAlign w:val="center"/>
          </w:tcPr>
          <w:p w14:paraId="6902202A">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1198D163">
            <w:pPr>
              <w:widowControl/>
              <w:jc w:val="left"/>
              <w:rPr>
                <w:rFonts w:ascii="黑体" w:hAnsi="黑体" w:eastAsia="黑体" w:cs="宋体"/>
                <w:color w:val="000000"/>
                <w:kern w:val="0"/>
                <w:sz w:val="16"/>
                <w:szCs w:val="16"/>
              </w:rPr>
            </w:pPr>
          </w:p>
        </w:tc>
      </w:tr>
      <w:tr w14:paraId="5431B2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200D9893">
            <w:pPr>
              <w:widowControl/>
              <w:jc w:val="left"/>
              <w:rPr>
                <w:rFonts w:ascii="等线" w:hAnsi="等线" w:eastAsia="等线" w:cs="宋体"/>
                <w:color w:val="000000"/>
                <w:kern w:val="0"/>
                <w:sz w:val="16"/>
                <w:szCs w:val="16"/>
              </w:rPr>
            </w:pPr>
          </w:p>
        </w:tc>
        <w:tc>
          <w:tcPr>
            <w:tcW w:w="830" w:type="dxa"/>
            <w:vMerge w:val="continue"/>
            <w:vAlign w:val="center"/>
          </w:tcPr>
          <w:p w14:paraId="44A2FE58">
            <w:pPr>
              <w:widowControl/>
              <w:jc w:val="left"/>
              <w:rPr>
                <w:rFonts w:ascii="宋体" w:hAnsi="宋体" w:cs="宋体"/>
                <w:color w:val="000000"/>
                <w:kern w:val="0"/>
                <w:sz w:val="16"/>
                <w:szCs w:val="16"/>
              </w:rPr>
            </w:pPr>
          </w:p>
        </w:tc>
        <w:tc>
          <w:tcPr>
            <w:tcW w:w="988" w:type="dxa"/>
            <w:vMerge w:val="continue"/>
            <w:vAlign w:val="center"/>
          </w:tcPr>
          <w:p w14:paraId="3C043FA0">
            <w:pPr>
              <w:widowControl/>
              <w:jc w:val="left"/>
              <w:rPr>
                <w:rFonts w:ascii="宋体" w:hAnsi="宋体" w:cs="宋体"/>
                <w:color w:val="000000"/>
                <w:kern w:val="0"/>
                <w:sz w:val="16"/>
                <w:szCs w:val="16"/>
              </w:rPr>
            </w:pPr>
          </w:p>
        </w:tc>
        <w:tc>
          <w:tcPr>
            <w:tcW w:w="1081" w:type="dxa"/>
            <w:vMerge w:val="continue"/>
            <w:vAlign w:val="center"/>
          </w:tcPr>
          <w:p w14:paraId="0A09A5CF">
            <w:pPr>
              <w:widowControl/>
              <w:jc w:val="left"/>
              <w:rPr>
                <w:rFonts w:ascii="宋体" w:hAnsi="宋体" w:cs="宋体"/>
                <w:color w:val="000000"/>
                <w:kern w:val="0"/>
                <w:sz w:val="16"/>
                <w:szCs w:val="16"/>
              </w:rPr>
            </w:pPr>
          </w:p>
        </w:tc>
        <w:tc>
          <w:tcPr>
            <w:tcW w:w="1240" w:type="dxa"/>
            <w:vMerge w:val="continue"/>
            <w:vAlign w:val="center"/>
          </w:tcPr>
          <w:p w14:paraId="2F2AB105">
            <w:pPr>
              <w:widowControl/>
              <w:jc w:val="left"/>
              <w:rPr>
                <w:rFonts w:ascii="宋体" w:hAnsi="宋体" w:cs="宋体"/>
                <w:color w:val="000000"/>
                <w:kern w:val="0"/>
                <w:sz w:val="16"/>
                <w:szCs w:val="16"/>
              </w:rPr>
            </w:pPr>
          </w:p>
        </w:tc>
        <w:tc>
          <w:tcPr>
            <w:tcW w:w="1036" w:type="dxa"/>
            <w:vMerge w:val="continue"/>
            <w:vAlign w:val="center"/>
          </w:tcPr>
          <w:p w14:paraId="13D5D6D9">
            <w:pPr>
              <w:widowControl/>
              <w:jc w:val="left"/>
              <w:rPr>
                <w:rFonts w:ascii="宋体" w:hAnsi="宋体" w:cs="宋体"/>
                <w:color w:val="000000"/>
                <w:kern w:val="0"/>
                <w:sz w:val="16"/>
                <w:szCs w:val="16"/>
              </w:rPr>
            </w:pPr>
          </w:p>
        </w:tc>
        <w:tc>
          <w:tcPr>
            <w:tcW w:w="2148" w:type="dxa"/>
            <w:shd w:val="clear" w:color="auto" w:fill="auto"/>
            <w:vAlign w:val="center"/>
          </w:tcPr>
          <w:p w14:paraId="0DA007FF">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＜90%</w:t>
            </w:r>
          </w:p>
        </w:tc>
        <w:tc>
          <w:tcPr>
            <w:tcW w:w="456" w:type="dxa"/>
            <w:shd w:val="clear" w:color="auto" w:fill="auto"/>
            <w:vAlign w:val="center"/>
          </w:tcPr>
          <w:p w14:paraId="4F5F67D9">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1A1FE21A">
            <w:pPr>
              <w:widowControl/>
              <w:jc w:val="left"/>
              <w:rPr>
                <w:rFonts w:ascii="黑体" w:hAnsi="黑体" w:eastAsia="黑体" w:cs="宋体"/>
                <w:color w:val="000000"/>
                <w:kern w:val="0"/>
                <w:sz w:val="16"/>
                <w:szCs w:val="16"/>
              </w:rPr>
            </w:pPr>
          </w:p>
        </w:tc>
      </w:tr>
      <w:tr w14:paraId="292F0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11ACB948">
            <w:pPr>
              <w:widowControl/>
              <w:jc w:val="left"/>
              <w:rPr>
                <w:rFonts w:ascii="等线" w:hAnsi="等线" w:eastAsia="等线" w:cs="宋体"/>
                <w:color w:val="000000"/>
                <w:kern w:val="0"/>
                <w:sz w:val="16"/>
                <w:szCs w:val="16"/>
              </w:rPr>
            </w:pPr>
          </w:p>
        </w:tc>
        <w:tc>
          <w:tcPr>
            <w:tcW w:w="830" w:type="dxa"/>
            <w:vMerge w:val="continue"/>
            <w:vAlign w:val="center"/>
          </w:tcPr>
          <w:p w14:paraId="2A4CAE10">
            <w:pPr>
              <w:widowControl/>
              <w:jc w:val="left"/>
              <w:rPr>
                <w:rFonts w:ascii="宋体" w:hAnsi="宋体" w:cs="宋体"/>
                <w:color w:val="000000"/>
                <w:kern w:val="0"/>
                <w:sz w:val="16"/>
                <w:szCs w:val="16"/>
              </w:rPr>
            </w:pPr>
          </w:p>
        </w:tc>
        <w:tc>
          <w:tcPr>
            <w:tcW w:w="988" w:type="dxa"/>
            <w:vMerge w:val="continue"/>
            <w:vAlign w:val="center"/>
          </w:tcPr>
          <w:p w14:paraId="5ABE6A69">
            <w:pPr>
              <w:widowControl/>
              <w:jc w:val="left"/>
              <w:rPr>
                <w:rFonts w:ascii="宋体" w:hAnsi="宋体" w:cs="宋体"/>
                <w:color w:val="000000"/>
                <w:kern w:val="0"/>
                <w:sz w:val="16"/>
                <w:szCs w:val="16"/>
              </w:rPr>
            </w:pPr>
          </w:p>
        </w:tc>
        <w:tc>
          <w:tcPr>
            <w:tcW w:w="1081" w:type="dxa"/>
            <w:vMerge w:val="restart"/>
            <w:shd w:val="clear" w:color="auto" w:fill="auto"/>
            <w:vAlign w:val="center"/>
          </w:tcPr>
          <w:p w14:paraId="56052CBD">
            <w:pPr>
              <w:widowControl/>
              <w:jc w:val="center"/>
              <w:rPr>
                <w:rFonts w:ascii="宋体" w:hAnsi="宋体" w:cs="宋体"/>
                <w:color w:val="000000"/>
                <w:kern w:val="0"/>
                <w:sz w:val="16"/>
                <w:szCs w:val="16"/>
              </w:rPr>
            </w:pPr>
            <w:r>
              <w:rPr>
                <w:rFonts w:hint="eastAsia" w:ascii="宋体" w:hAnsi="宋体" w:cs="宋体"/>
                <w:color w:val="000000"/>
                <w:kern w:val="0"/>
                <w:sz w:val="16"/>
                <w:szCs w:val="16"/>
              </w:rPr>
              <w:t>生产过程监控</w:t>
            </w:r>
          </w:p>
        </w:tc>
        <w:tc>
          <w:tcPr>
            <w:tcW w:w="1240" w:type="dxa"/>
            <w:vMerge w:val="restart"/>
            <w:shd w:val="clear" w:color="auto" w:fill="auto"/>
            <w:vAlign w:val="center"/>
          </w:tcPr>
          <w:p w14:paraId="1F922C66">
            <w:pPr>
              <w:widowControl/>
              <w:jc w:val="center"/>
              <w:rPr>
                <w:rFonts w:ascii="宋体" w:hAnsi="宋体" w:cs="宋体"/>
                <w:color w:val="000000"/>
                <w:kern w:val="0"/>
                <w:sz w:val="16"/>
                <w:szCs w:val="16"/>
              </w:rPr>
            </w:pPr>
            <w:r>
              <w:rPr>
                <w:rFonts w:hint="eastAsia" w:ascii="宋体" w:hAnsi="宋体" w:cs="宋体"/>
                <w:color w:val="000000"/>
                <w:kern w:val="0"/>
                <w:sz w:val="16"/>
                <w:szCs w:val="16"/>
              </w:rPr>
              <w:t>符合率</w:t>
            </w:r>
          </w:p>
        </w:tc>
        <w:tc>
          <w:tcPr>
            <w:tcW w:w="1036" w:type="dxa"/>
            <w:vMerge w:val="continue"/>
            <w:vAlign w:val="center"/>
          </w:tcPr>
          <w:p w14:paraId="45BE0172">
            <w:pPr>
              <w:widowControl/>
              <w:jc w:val="left"/>
              <w:rPr>
                <w:rFonts w:ascii="宋体" w:hAnsi="宋体" w:cs="宋体"/>
                <w:color w:val="000000"/>
                <w:kern w:val="0"/>
                <w:sz w:val="16"/>
                <w:szCs w:val="16"/>
              </w:rPr>
            </w:pPr>
          </w:p>
        </w:tc>
        <w:tc>
          <w:tcPr>
            <w:tcW w:w="2148" w:type="dxa"/>
            <w:shd w:val="clear" w:color="auto" w:fill="auto"/>
            <w:vAlign w:val="center"/>
          </w:tcPr>
          <w:p w14:paraId="254A5BB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100%</w:t>
            </w:r>
          </w:p>
        </w:tc>
        <w:tc>
          <w:tcPr>
            <w:tcW w:w="456" w:type="dxa"/>
            <w:shd w:val="clear" w:color="000000" w:fill="D9D9D9"/>
            <w:vAlign w:val="center"/>
          </w:tcPr>
          <w:p w14:paraId="30AC50A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20</w:t>
            </w:r>
          </w:p>
        </w:tc>
        <w:tc>
          <w:tcPr>
            <w:tcW w:w="1043" w:type="dxa"/>
            <w:gridSpan w:val="2"/>
            <w:vMerge w:val="continue"/>
            <w:vAlign w:val="center"/>
          </w:tcPr>
          <w:p w14:paraId="5D9E9E62">
            <w:pPr>
              <w:widowControl/>
              <w:jc w:val="left"/>
              <w:rPr>
                <w:rFonts w:ascii="黑体" w:hAnsi="黑体" w:eastAsia="黑体" w:cs="宋体"/>
                <w:color w:val="000000"/>
                <w:kern w:val="0"/>
                <w:sz w:val="16"/>
                <w:szCs w:val="16"/>
              </w:rPr>
            </w:pPr>
          </w:p>
        </w:tc>
      </w:tr>
      <w:tr w14:paraId="5618B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0CB804C8">
            <w:pPr>
              <w:widowControl/>
              <w:jc w:val="left"/>
              <w:rPr>
                <w:rFonts w:ascii="等线" w:hAnsi="等线" w:eastAsia="等线" w:cs="宋体"/>
                <w:color w:val="000000"/>
                <w:kern w:val="0"/>
                <w:sz w:val="16"/>
                <w:szCs w:val="16"/>
              </w:rPr>
            </w:pPr>
          </w:p>
        </w:tc>
        <w:tc>
          <w:tcPr>
            <w:tcW w:w="830" w:type="dxa"/>
            <w:vMerge w:val="continue"/>
            <w:vAlign w:val="center"/>
          </w:tcPr>
          <w:p w14:paraId="0A9C1FE9">
            <w:pPr>
              <w:widowControl/>
              <w:jc w:val="left"/>
              <w:rPr>
                <w:rFonts w:ascii="宋体" w:hAnsi="宋体" w:cs="宋体"/>
                <w:color w:val="000000"/>
                <w:kern w:val="0"/>
                <w:sz w:val="16"/>
                <w:szCs w:val="16"/>
              </w:rPr>
            </w:pPr>
          </w:p>
        </w:tc>
        <w:tc>
          <w:tcPr>
            <w:tcW w:w="988" w:type="dxa"/>
            <w:vMerge w:val="continue"/>
            <w:vAlign w:val="center"/>
          </w:tcPr>
          <w:p w14:paraId="2280EA6A">
            <w:pPr>
              <w:widowControl/>
              <w:jc w:val="left"/>
              <w:rPr>
                <w:rFonts w:ascii="宋体" w:hAnsi="宋体" w:cs="宋体"/>
                <w:color w:val="000000"/>
                <w:kern w:val="0"/>
                <w:sz w:val="16"/>
                <w:szCs w:val="16"/>
              </w:rPr>
            </w:pPr>
          </w:p>
        </w:tc>
        <w:tc>
          <w:tcPr>
            <w:tcW w:w="1081" w:type="dxa"/>
            <w:vMerge w:val="continue"/>
            <w:vAlign w:val="center"/>
          </w:tcPr>
          <w:p w14:paraId="46ADA3E6">
            <w:pPr>
              <w:widowControl/>
              <w:jc w:val="left"/>
              <w:rPr>
                <w:rFonts w:ascii="宋体" w:hAnsi="宋体" w:cs="宋体"/>
                <w:color w:val="000000"/>
                <w:kern w:val="0"/>
                <w:sz w:val="16"/>
                <w:szCs w:val="16"/>
              </w:rPr>
            </w:pPr>
          </w:p>
        </w:tc>
        <w:tc>
          <w:tcPr>
            <w:tcW w:w="1240" w:type="dxa"/>
            <w:vMerge w:val="continue"/>
            <w:vAlign w:val="center"/>
          </w:tcPr>
          <w:p w14:paraId="0E757BA9">
            <w:pPr>
              <w:widowControl/>
              <w:jc w:val="left"/>
              <w:rPr>
                <w:rFonts w:ascii="宋体" w:hAnsi="宋体" w:cs="宋体"/>
                <w:color w:val="000000"/>
                <w:kern w:val="0"/>
                <w:sz w:val="16"/>
                <w:szCs w:val="16"/>
              </w:rPr>
            </w:pPr>
          </w:p>
        </w:tc>
        <w:tc>
          <w:tcPr>
            <w:tcW w:w="1036" w:type="dxa"/>
            <w:vMerge w:val="continue"/>
            <w:vAlign w:val="center"/>
          </w:tcPr>
          <w:p w14:paraId="4C15B259">
            <w:pPr>
              <w:widowControl/>
              <w:jc w:val="left"/>
              <w:rPr>
                <w:rFonts w:ascii="宋体" w:hAnsi="宋体" w:cs="宋体"/>
                <w:color w:val="000000"/>
                <w:kern w:val="0"/>
                <w:sz w:val="16"/>
                <w:szCs w:val="16"/>
              </w:rPr>
            </w:pPr>
          </w:p>
        </w:tc>
        <w:tc>
          <w:tcPr>
            <w:tcW w:w="2148" w:type="dxa"/>
            <w:shd w:val="clear" w:color="auto" w:fill="auto"/>
            <w:vAlign w:val="center"/>
          </w:tcPr>
          <w:p w14:paraId="7767E3C2">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[99%，100%</w:t>
            </w:r>
            <w:r>
              <w:rPr>
                <w:rFonts w:ascii="宋体" w:hAnsi="宋体" w:cs="宋体"/>
                <w:color w:val="000000"/>
                <w:kern w:val="0"/>
                <w:sz w:val="16"/>
                <w:szCs w:val="16"/>
              </w:rPr>
              <w:t>)</w:t>
            </w:r>
          </w:p>
        </w:tc>
        <w:tc>
          <w:tcPr>
            <w:tcW w:w="456" w:type="dxa"/>
            <w:shd w:val="clear" w:color="auto" w:fill="auto"/>
            <w:vAlign w:val="center"/>
          </w:tcPr>
          <w:p w14:paraId="67998B1A">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15</w:t>
            </w:r>
          </w:p>
        </w:tc>
        <w:tc>
          <w:tcPr>
            <w:tcW w:w="1043" w:type="dxa"/>
            <w:gridSpan w:val="2"/>
            <w:vMerge w:val="continue"/>
            <w:vAlign w:val="center"/>
          </w:tcPr>
          <w:p w14:paraId="087A4794">
            <w:pPr>
              <w:widowControl/>
              <w:jc w:val="left"/>
              <w:rPr>
                <w:rFonts w:ascii="黑体" w:hAnsi="黑体" w:eastAsia="黑体" w:cs="宋体"/>
                <w:color w:val="000000"/>
                <w:kern w:val="0"/>
                <w:sz w:val="16"/>
                <w:szCs w:val="16"/>
              </w:rPr>
            </w:pPr>
          </w:p>
        </w:tc>
      </w:tr>
      <w:tr w14:paraId="0028A3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0D5DA3A3">
            <w:pPr>
              <w:widowControl/>
              <w:jc w:val="left"/>
              <w:rPr>
                <w:rFonts w:ascii="等线" w:hAnsi="等线" w:eastAsia="等线" w:cs="宋体"/>
                <w:color w:val="000000"/>
                <w:kern w:val="0"/>
                <w:sz w:val="16"/>
                <w:szCs w:val="16"/>
              </w:rPr>
            </w:pPr>
          </w:p>
        </w:tc>
        <w:tc>
          <w:tcPr>
            <w:tcW w:w="830" w:type="dxa"/>
            <w:vMerge w:val="continue"/>
            <w:vAlign w:val="center"/>
          </w:tcPr>
          <w:p w14:paraId="5C5B542B">
            <w:pPr>
              <w:widowControl/>
              <w:jc w:val="left"/>
              <w:rPr>
                <w:rFonts w:ascii="宋体" w:hAnsi="宋体" w:cs="宋体"/>
                <w:color w:val="000000"/>
                <w:kern w:val="0"/>
                <w:sz w:val="16"/>
                <w:szCs w:val="16"/>
              </w:rPr>
            </w:pPr>
          </w:p>
        </w:tc>
        <w:tc>
          <w:tcPr>
            <w:tcW w:w="988" w:type="dxa"/>
            <w:vMerge w:val="continue"/>
            <w:vAlign w:val="center"/>
          </w:tcPr>
          <w:p w14:paraId="36B8D90D">
            <w:pPr>
              <w:widowControl/>
              <w:jc w:val="left"/>
              <w:rPr>
                <w:rFonts w:ascii="宋体" w:hAnsi="宋体" w:cs="宋体"/>
                <w:color w:val="000000"/>
                <w:kern w:val="0"/>
                <w:sz w:val="16"/>
                <w:szCs w:val="16"/>
              </w:rPr>
            </w:pPr>
          </w:p>
        </w:tc>
        <w:tc>
          <w:tcPr>
            <w:tcW w:w="1081" w:type="dxa"/>
            <w:vMerge w:val="continue"/>
            <w:vAlign w:val="center"/>
          </w:tcPr>
          <w:p w14:paraId="6C6BA2FC">
            <w:pPr>
              <w:widowControl/>
              <w:jc w:val="left"/>
              <w:rPr>
                <w:rFonts w:ascii="宋体" w:hAnsi="宋体" w:cs="宋体"/>
                <w:color w:val="000000"/>
                <w:kern w:val="0"/>
                <w:sz w:val="16"/>
                <w:szCs w:val="16"/>
              </w:rPr>
            </w:pPr>
          </w:p>
        </w:tc>
        <w:tc>
          <w:tcPr>
            <w:tcW w:w="1240" w:type="dxa"/>
            <w:vMerge w:val="continue"/>
            <w:vAlign w:val="center"/>
          </w:tcPr>
          <w:p w14:paraId="78588086">
            <w:pPr>
              <w:widowControl/>
              <w:jc w:val="left"/>
              <w:rPr>
                <w:rFonts w:ascii="宋体" w:hAnsi="宋体" w:cs="宋体"/>
                <w:color w:val="000000"/>
                <w:kern w:val="0"/>
                <w:sz w:val="16"/>
                <w:szCs w:val="16"/>
              </w:rPr>
            </w:pPr>
          </w:p>
        </w:tc>
        <w:tc>
          <w:tcPr>
            <w:tcW w:w="1036" w:type="dxa"/>
            <w:vMerge w:val="continue"/>
            <w:vAlign w:val="center"/>
          </w:tcPr>
          <w:p w14:paraId="764792EE">
            <w:pPr>
              <w:widowControl/>
              <w:jc w:val="left"/>
              <w:rPr>
                <w:rFonts w:ascii="宋体" w:hAnsi="宋体" w:cs="宋体"/>
                <w:color w:val="000000"/>
                <w:kern w:val="0"/>
                <w:sz w:val="16"/>
                <w:szCs w:val="16"/>
              </w:rPr>
            </w:pPr>
          </w:p>
        </w:tc>
        <w:tc>
          <w:tcPr>
            <w:tcW w:w="2148" w:type="dxa"/>
            <w:shd w:val="clear" w:color="auto" w:fill="auto"/>
            <w:vAlign w:val="center"/>
          </w:tcPr>
          <w:p w14:paraId="32DCB736">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[98%，99%)</w:t>
            </w:r>
          </w:p>
        </w:tc>
        <w:tc>
          <w:tcPr>
            <w:tcW w:w="456" w:type="dxa"/>
            <w:shd w:val="clear" w:color="auto" w:fill="auto"/>
            <w:vAlign w:val="center"/>
          </w:tcPr>
          <w:p w14:paraId="586D6B1B">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8</w:t>
            </w:r>
          </w:p>
        </w:tc>
        <w:tc>
          <w:tcPr>
            <w:tcW w:w="1043" w:type="dxa"/>
            <w:gridSpan w:val="2"/>
            <w:vMerge w:val="continue"/>
            <w:vAlign w:val="center"/>
          </w:tcPr>
          <w:p w14:paraId="78B2D880">
            <w:pPr>
              <w:widowControl/>
              <w:jc w:val="left"/>
              <w:rPr>
                <w:rFonts w:ascii="黑体" w:hAnsi="黑体" w:eastAsia="黑体" w:cs="宋体"/>
                <w:color w:val="000000"/>
                <w:kern w:val="0"/>
                <w:sz w:val="16"/>
                <w:szCs w:val="16"/>
              </w:rPr>
            </w:pPr>
          </w:p>
        </w:tc>
      </w:tr>
      <w:tr w14:paraId="7A041C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321D1E50">
            <w:pPr>
              <w:widowControl/>
              <w:jc w:val="left"/>
              <w:rPr>
                <w:rFonts w:ascii="等线" w:hAnsi="等线" w:eastAsia="等线" w:cs="宋体"/>
                <w:color w:val="000000"/>
                <w:kern w:val="0"/>
                <w:sz w:val="16"/>
                <w:szCs w:val="16"/>
              </w:rPr>
            </w:pPr>
          </w:p>
        </w:tc>
        <w:tc>
          <w:tcPr>
            <w:tcW w:w="830" w:type="dxa"/>
            <w:vMerge w:val="continue"/>
            <w:vAlign w:val="center"/>
          </w:tcPr>
          <w:p w14:paraId="2220A873">
            <w:pPr>
              <w:widowControl/>
              <w:jc w:val="left"/>
              <w:rPr>
                <w:rFonts w:ascii="宋体" w:hAnsi="宋体" w:cs="宋体"/>
                <w:color w:val="000000"/>
                <w:kern w:val="0"/>
                <w:sz w:val="16"/>
                <w:szCs w:val="16"/>
              </w:rPr>
            </w:pPr>
          </w:p>
        </w:tc>
        <w:tc>
          <w:tcPr>
            <w:tcW w:w="988" w:type="dxa"/>
            <w:vMerge w:val="continue"/>
            <w:vAlign w:val="center"/>
          </w:tcPr>
          <w:p w14:paraId="59EB0D48">
            <w:pPr>
              <w:widowControl/>
              <w:jc w:val="left"/>
              <w:rPr>
                <w:rFonts w:ascii="宋体" w:hAnsi="宋体" w:cs="宋体"/>
                <w:color w:val="000000"/>
                <w:kern w:val="0"/>
                <w:sz w:val="16"/>
                <w:szCs w:val="16"/>
              </w:rPr>
            </w:pPr>
          </w:p>
        </w:tc>
        <w:tc>
          <w:tcPr>
            <w:tcW w:w="1081" w:type="dxa"/>
            <w:vMerge w:val="continue"/>
            <w:vAlign w:val="center"/>
          </w:tcPr>
          <w:p w14:paraId="29696444">
            <w:pPr>
              <w:widowControl/>
              <w:jc w:val="left"/>
              <w:rPr>
                <w:rFonts w:ascii="宋体" w:hAnsi="宋体" w:cs="宋体"/>
                <w:color w:val="000000"/>
                <w:kern w:val="0"/>
                <w:sz w:val="16"/>
                <w:szCs w:val="16"/>
              </w:rPr>
            </w:pPr>
          </w:p>
        </w:tc>
        <w:tc>
          <w:tcPr>
            <w:tcW w:w="1240" w:type="dxa"/>
            <w:vMerge w:val="continue"/>
            <w:vAlign w:val="center"/>
          </w:tcPr>
          <w:p w14:paraId="4B3847C3">
            <w:pPr>
              <w:widowControl/>
              <w:jc w:val="left"/>
              <w:rPr>
                <w:rFonts w:ascii="宋体" w:hAnsi="宋体" w:cs="宋体"/>
                <w:color w:val="000000"/>
                <w:kern w:val="0"/>
                <w:sz w:val="16"/>
                <w:szCs w:val="16"/>
              </w:rPr>
            </w:pPr>
          </w:p>
        </w:tc>
        <w:tc>
          <w:tcPr>
            <w:tcW w:w="1036" w:type="dxa"/>
            <w:vMerge w:val="continue"/>
            <w:vAlign w:val="center"/>
          </w:tcPr>
          <w:p w14:paraId="4925F37C">
            <w:pPr>
              <w:widowControl/>
              <w:jc w:val="left"/>
              <w:rPr>
                <w:rFonts w:ascii="宋体" w:hAnsi="宋体" w:cs="宋体"/>
                <w:color w:val="000000"/>
                <w:kern w:val="0"/>
                <w:sz w:val="16"/>
                <w:szCs w:val="16"/>
              </w:rPr>
            </w:pPr>
          </w:p>
        </w:tc>
        <w:tc>
          <w:tcPr>
            <w:tcW w:w="2148" w:type="dxa"/>
            <w:shd w:val="clear" w:color="auto" w:fill="auto"/>
            <w:vAlign w:val="center"/>
          </w:tcPr>
          <w:p w14:paraId="4FFAA840">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＜98%</w:t>
            </w:r>
          </w:p>
        </w:tc>
        <w:tc>
          <w:tcPr>
            <w:tcW w:w="456" w:type="dxa"/>
            <w:shd w:val="clear" w:color="auto" w:fill="auto"/>
            <w:vAlign w:val="center"/>
          </w:tcPr>
          <w:p w14:paraId="5E156EA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7743AB00">
            <w:pPr>
              <w:widowControl/>
              <w:jc w:val="left"/>
              <w:rPr>
                <w:rFonts w:ascii="黑体" w:hAnsi="黑体" w:eastAsia="黑体" w:cs="宋体"/>
                <w:color w:val="000000"/>
                <w:kern w:val="0"/>
                <w:sz w:val="16"/>
                <w:szCs w:val="16"/>
              </w:rPr>
            </w:pPr>
          </w:p>
        </w:tc>
      </w:tr>
      <w:tr w14:paraId="545A5D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0AB80505">
            <w:pPr>
              <w:widowControl/>
              <w:jc w:val="left"/>
              <w:rPr>
                <w:rFonts w:ascii="等线" w:hAnsi="等线" w:eastAsia="等线" w:cs="宋体"/>
                <w:color w:val="000000"/>
                <w:kern w:val="0"/>
                <w:sz w:val="16"/>
                <w:szCs w:val="16"/>
              </w:rPr>
            </w:pPr>
          </w:p>
        </w:tc>
        <w:tc>
          <w:tcPr>
            <w:tcW w:w="830" w:type="dxa"/>
            <w:vMerge w:val="continue"/>
            <w:vAlign w:val="center"/>
          </w:tcPr>
          <w:p w14:paraId="50A53B00">
            <w:pPr>
              <w:widowControl/>
              <w:jc w:val="left"/>
              <w:rPr>
                <w:rFonts w:ascii="宋体" w:hAnsi="宋体" w:cs="宋体"/>
                <w:color w:val="000000"/>
                <w:kern w:val="0"/>
                <w:sz w:val="16"/>
                <w:szCs w:val="16"/>
              </w:rPr>
            </w:pPr>
          </w:p>
        </w:tc>
        <w:tc>
          <w:tcPr>
            <w:tcW w:w="988" w:type="dxa"/>
            <w:vMerge w:val="restart"/>
            <w:shd w:val="clear" w:color="auto" w:fill="auto"/>
            <w:vAlign w:val="center"/>
          </w:tcPr>
          <w:p w14:paraId="6DD552F4">
            <w:pPr>
              <w:widowControl/>
              <w:jc w:val="center"/>
              <w:rPr>
                <w:rFonts w:ascii="宋体" w:hAnsi="宋体" w:cs="宋体"/>
                <w:color w:val="000000"/>
                <w:kern w:val="0"/>
                <w:sz w:val="16"/>
                <w:szCs w:val="16"/>
              </w:rPr>
            </w:pPr>
            <w:r>
              <w:rPr>
                <w:rFonts w:hint="eastAsia" w:ascii="宋体" w:hAnsi="宋体" w:cs="宋体"/>
                <w:color w:val="000000"/>
                <w:kern w:val="0"/>
                <w:sz w:val="16"/>
                <w:szCs w:val="16"/>
              </w:rPr>
              <w:t>出厂试验</w:t>
            </w:r>
          </w:p>
        </w:tc>
        <w:tc>
          <w:tcPr>
            <w:tcW w:w="1081" w:type="dxa"/>
            <w:vMerge w:val="restart"/>
            <w:shd w:val="clear" w:color="auto" w:fill="auto"/>
            <w:vAlign w:val="center"/>
          </w:tcPr>
          <w:p w14:paraId="2BDC4052">
            <w:pPr>
              <w:widowControl/>
              <w:jc w:val="center"/>
              <w:rPr>
                <w:rFonts w:ascii="宋体" w:hAnsi="宋体" w:cs="宋体"/>
                <w:color w:val="000000"/>
                <w:kern w:val="0"/>
                <w:sz w:val="16"/>
                <w:szCs w:val="16"/>
              </w:rPr>
            </w:pPr>
            <w:r>
              <w:rPr>
                <w:rFonts w:hint="eastAsia" w:ascii="宋体" w:hAnsi="宋体" w:cs="宋体"/>
                <w:color w:val="000000"/>
                <w:kern w:val="0"/>
                <w:sz w:val="16"/>
                <w:szCs w:val="16"/>
              </w:rPr>
              <w:t>出厂试验情况</w:t>
            </w:r>
          </w:p>
        </w:tc>
        <w:tc>
          <w:tcPr>
            <w:tcW w:w="1240" w:type="dxa"/>
            <w:vMerge w:val="restart"/>
            <w:shd w:val="clear" w:color="auto" w:fill="auto"/>
            <w:vAlign w:val="center"/>
          </w:tcPr>
          <w:p w14:paraId="3B9C4FFF">
            <w:pPr>
              <w:widowControl/>
              <w:jc w:val="center"/>
              <w:rPr>
                <w:rFonts w:ascii="宋体" w:hAnsi="宋体" w:cs="宋体"/>
                <w:color w:val="000000"/>
                <w:kern w:val="0"/>
                <w:sz w:val="16"/>
                <w:szCs w:val="16"/>
              </w:rPr>
            </w:pPr>
            <w:r>
              <w:rPr>
                <w:rFonts w:hint="eastAsia" w:ascii="宋体" w:hAnsi="宋体" w:cs="宋体"/>
                <w:color w:val="000000"/>
                <w:kern w:val="0"/>
                <w:sz w:val="16"/>
                <w:szCs w:val="16"/>
              </w:rPr>
              <w:t>出厂试验一次通过率</w:t>
            </w:r>
          </w:p>
        </w:tc>
        <w:tc>
          <w:tcPr>
            <w:tcW w:w="1036" w:type="dxa"/>
            <w:vMerge w:val="restart"/>
            <w:shd w:val="clear" w:color="auto" w:fill="auto"/>
            <w:vAlign w:val="center"/>
          </w:tcPr>
          <w:p w14:paraId="76B5CB0A">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373B43EE">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100%</w:t>
            </w:r>
          </w:p>
        </w:tc>
        <w:tc>
          <w:tcPr>
            <w:tcW w:w="456" w:type="dxa"/>
            <w:shd w:val="clear" w:color="000000" w:fill="D9D9D9"/>
            <w:vAlign w:val="center"/>
          </w:tcPr>
          <w:p w14:paraId="77A9E0B1">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w:t>
            </w:r>
            <w:r>
              <w:rPr>
                <w:rFonts w:ascii="黑体" w:hAnsi="黑体" w:eastAsia="黑体" w:cs="宋体"/>
                <w:color w:val="000000"/>
                <w:kern w:val="0"/>
                <w:sz w:val="16"/>
                <w:szCs w:val="16"/>
              </w:rPr>
              <w:t>5</w:t>
            </w:r>
          </w:p>
        </w:tc>
        <w:tc>
          <w:tcPr>
            <w:tcW w:w="1043" w:type="dxa"/>
            <w:gridSpan w:val="2"/>
            <w:vMerge w:val="continue"/>
            <w:vAlign w:val="center"/>
          </w:tcPr>
          <w:p w14:paraId="4B1DE155">
            <w:pPr>
              <w:widowControl/>
              <w:jc w:val="left"/>
              <w:rPr>
                <w:rFonts w:ascii="黑体" w:hAnsi="黑体" w:eastAsia="黑体" w:cs="宋体"/>
                <w:color w:val="000000"/>
                <w:kern w:val="0"/>
                <w:sz w:val="16"/>
                <w:szCs w:val="16"/>
              </w:rPr>
            </w:pPr>
          </w:p>
        </w:tc>
      </w:tr>
      <w:tr w14:paraId="26E12E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29C5FA72">
            <w:pPr>
              <w:widowControl/>
              <w:jc w:val="left"/>
              <w:rPr>
                <w:rFonts w:ascii="等线" w:hAnsi="等线" w:eastAsia="等线" w:cs="宋体"/>
                <w:color w:val="000000"/>
                <w:kern w:val="0"/>
                <w:sz w:val="16"/>
                <w:szCs w:val="16"/>
              </w:rPr>
            </w:pPr>
          </w:p>
        </w:tc>
        <w:tc>
          <w:tcPr>
            <w:tcW w:w="830" w:type="dxa"/>
            <w:vMerge w:val="continue"/>
            <w:vAlign w:val="center"/>
          </w:tcPr>
          <w:p w14:paraId="2B25B9E9">
            <w:pPr>
              <w:widowControl/>
              <w:jc w:val="left"/>
              <w:rPr>
                <w:rFonts w:ascii="宋体" w:hAnsi="宋体" w:cs="宋体"/>
                <w:color w:val="000000"/>
                <w:kern w:val="0"/>
                <w:sz w:val="16"/>
                <w:szCs w:val="16"/>
              </w:rPr>
            </w:pPr>
          </w:p>
        </w:tc>
        <w:tc>
          <w:tcPr>
            <w:tcW w:w="988" w:type="dxa"/>
            <w:vMerge w:val="continue"/>
            <w:vAlign w:val="center"/>
          </w:tcPr>
          <w:p w14:paraId="6159F8F5">
            <w:pPr>
              <w:widowControl/>
              <w:jc w:val="left"/>
              <w:rPr>
                <w:rFonts w:ascii="宋体" w:hAnsi="宋体" w:cs="宋体"/>
                <w:color w:val="000000"/>
                <w:kern w:val="0"/>
                <w:sz w:val="16"/>
                <w:szCs w:val="16"/>
              </w:rPr>
            </w:pPr>
          </w:p>
        </w:tc>
        <w:tc>
          <w:tcPr>
            <w:tcW w:w="1081" w:type="dxa"/>
            <w:vMerge w:val="continue"/>
            <w:vAlign w:val="center"/>
          </w:tcPr>
          <w:p w14:paraId="53B0BCA0">
            <w:pPr>
              <w:widowControl/>
              <w:jc w:val="left"/>
              <w:rPr>
                <w:rFonts w:ascii="宋体" w:hAnsi="宋体" w:cs="宋体"/>
                <w:color w:val="000000"/>
                <w:kern w:val="0"/>
                <w:sz w:val="16"/>
                <w:szCs w:val="16"/>
              </w:rPr>
            </w:pPr>
          </w:p>
        </w:tc>
        <w:tc>
          <w:tcPr>
            <w:tcW w:w="1240" w:type="dxa"/>
            <w:vMerge w:val="continue"/>
            <w:vAlign w:val="center"/>
          </w:tcPr>
          <w:p w14:paraId="3E411600">
            <w:pPr>
              <w:widowControl/>
              <w:jc w:val="left"/>
              <w:rPr>
                <w:rFonts w:ascii="宋体" w:hAnsi="宋体" w:cs="宋体"/>
                <w:color w:val="000000"/>
                <w:kern w:val="0"/>
                <w:sz w:val="16"/>
                <w:szCs w:val="16"/>
              </w:rPr>
            </w:pPr>
          </w:p>
        </w:tc>
        <w:tc>
          <w:tcPr>
            <w:tcW w:w="1036" w:type="dxa"/>
            <w:vMerge w:val="continue"/>
            <w:vAlign w:val="center"/>
          </w:tcPr>
          <w:p w14:paraId="61F5C99A">
            <w:pPr>
              <w:widowControl/>
              <w:jc w:val="left"/>
              <w:rPr>
                <w:rFonts w:ascii="宋体" w:hAnsi="宋体" w:cs="宋体"/>
                <w:color w:val="000000"/>
                <w:kern w:val="0"/>
                <w:sz w:val="16"/>
                <w:szCs w:val="16"/>
              </w:rPr>
            </w:pPr>
          </w:p>
        </w:tc>
        <w:tc>
          <w:tcPr>
            <w:tcW w:w="2148" w:type="dxa"/>
            <w:shd w:val="clear" w:color="auto" w:fill="auto"/>
            <w:vAlign w:val="center"/>
          </w:tcPr>
          <w:p w14:paraId="2D43FD5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[98%，100%</w:t>
            </w:r>
            <w:r>
              <w:rPr>
                <w:rFonts w:ascii="宋体" w:hAnsi="宋体" w:cs="宋体"/>
                <w:color w:val="000000"/>
                <w:kern w:val="0"/>
                <w:sz w:val="16"/>
                <w:szCs w:val="16"/>
              </w:rPr>
              <w:t>)</w:t>
            </w:r>
          </w:p>
        </w:tc>
        <w:tc>
          <w:tcPr>
            <w:tcW w:w="456" w:type="dxa"/>
            <w:shd w:val="clear" w:color="auto" w:fill="auto"/>
            <w:vAlign w:val="center"/>
          </w:tcPr>
          <w:p w14:paraId="245B287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r>
              <w:rPr>
                <w:rFonts w:ascii="黑体" w:hAnsi="黑体" w:eastAsia="黑体" w:cs="宋体"/>
                <w:color w:val="000000"/>
                <w:kern w:val="0"/>
                <w:sz w:val="16"/>
                <w:szCs w:val="16"/>
              </w:rPr>
              <w:t>5</w:t>
            </w:r>
          </w:p>
        </w:tc>
        <w:tc>
          <w:tcPr>
            <w:tcW w:w="1043" w:type="dxa"/>
            <w:gridSpan w:val="2"/>
            <w:vMerge w:val="continue"/>
            <w:vAlign w:val="center"/>
          </w:tcPr>
          <w:p w14:paraId="582BE446">
            <w:pPr>
              <w:widowControl/>
              <w:jc w:val="left"/>
              <w:rPr>
                <w:rFonts w:ascii="黑体" w:hAnsi="黑体" w:eastAsia="黑体" w:cs="宋体"/>
                <w:color w:val="000000"/>
                <w:kern w:val="0"/>
                <w:sz w:val="16"/>
                <w:szCs w:val="16"/>
              </w:rPr>
            </w:pPr>
          </w:p>
        </w:tc>
      </w:tr>
      <w:tr w14:paraId="60A7BF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27B302D3">
            <w:pPr>
              <w:widowControl/>
              <w:jc w:val="left"/>
              <w:rPr>
                <w:rFonts w:ascii="等线" w:hAnsi="等线" w:eastAsia="等线" w:cs="宋体"/>
                <w:color w:val="000000"/>
                <w:kern w:val="0"/>
                <w:sz w:val="16"/>
                <w:szCs w:val="16"/>
              </w:rPr>
            </w:pPr>
          </w:p>
        </w:tc>
        <w:tc>
          <w:tcPr>
            <w:tcW w:w="830" w:type="dxa"/>
            <w:vMerge w:val="continue"/>
            <w:vAlign w:val="center"/>
          </w:tcPr>
          <w:p w14:paraId="19802EE6">
            <w:pPr>
              <w:widowControl/>
              <w:jc w:val="left"/>
              <w:rPr>
                <w:rFonts w:ascii="宋体" w:hAnsi="宋体" w:cs="宋体"/>
                <w:color w:val="000000"/>
                <w:kern w:val="0"/>
                <w:sz w:val="16"/>
                <w:szCs w:val="16"/>
              </w:rPr>
            </w:pPr>
          </w:p>
        </w:tc>
        <w:tc>
          <w:tcPr>
            <w:tcW w:w="988" w:type="dxa"/>
            <w:vMerge w:val="continue"/>
            <w:vAlign w:val="center"/>
          </w:tcPr>
          <w:p w14:paraId="6593E3A7">
            <w:pPr>
              <w:widowControl/>
              <w:jc w:val="left"/>
              <w:rPr>
                <w:rFonts w:ascii="宋体" w:hAnsi="宋体" w:cs="宋体"/>
                <w:color w:val="000000"/>
                <w:kern w:val="0"/>
                <w:sz w:val="16"/>
                <w:szCs w:val="16"/>
              </w:rPr>
            </w:pPr>
          </w:p>
        </w:tc>
        <w:tc>
          <w:tcPr>
            <w:tcW w:w="1081" w:type="dxa"/>
            <w:vMerge w:val="continue"/>
            <w:vAlign w:val="center"/>
          </w:tcPr>
          <w:p w14:paraId="75915D0C">
            <w:pPr>
              <w:widowControl/>
              <w:jc w:val="left"/>
              <w:rPr>
                <w:rFonts w:ascii="宋体" w:hAnsi="宋体" w:cs="宋体"/>
                <w:color w:val="000000"/>
                <w:kern w:val="0"/>
                <w:sz w:val="16"/>
                <w:szCs w:val="16"/>
              </w:rPr>
            </w:pPr>
          </w:p>
        </w:tc>
        <w:tc>
          <w:tcPr>
            <w:tcW w:w="1240" w:type="dxa"/>
            <w:vMerge w:val="continue"/>
            <w:vAlign w:val="center"/>
          </w:tcPr>
          <w:p w14:paraId="64AB9E54">
            <w:pPr>
              <w:widowControl/>
              <w:jc w:val="left"/>
              <w:rPr>
                <w:rFonts w:ascii="宋体" w:hAnsi="宋体" w:cs="宋体"/>
                <w:color w:val="000000"/>
                <w:kern w:val="0"/>
                <w:sz w:val="16"/>
                <w:szCs w:val="16"/>
              </w:rPr>
            </w:pPr>
          </w:p>
        </w:tc>
        <w:tc>
          <w:tcPr>
            <w:tcW w:w="1036" w:type="dxa"/>
            <w:vMerge w:val="continue"/>
            <w:vAlign w:val="center"/>
          </w:tcPr>
          <w:p w14:paraId="26E5D7DB">
            <w:pPr>
              <w:widowControl/>
              <w:jc w:val="left"/>
              <w:rPr>
                <w:rFonts w:ascii="宋体" w:hAnsi="宋体" w:cs="宋体"/>
                <w:color w:val="000000"/>
                <w:kern w:val="0"/>
                <w:sz w:val="16"/>
                <w:szCs w:val="16"/>
              </w:rPr>
            </w:pPr>
          </w:p>
        </w:tc>
        <w:tc>
          <w:tcPr>
            <w:tcW w:w="2148" w:type="dxa"/>
            <w:shd w:val="clear" w:color="auto" w:fill="auto"/>
            <w:vAlign w:val="center"/>
          </w:tcPr>
          <w:p w14:paraId="5A96B025">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[95%，98%)</w:t>
            </w:r>
          </w:p>
        </w:tc>
        <w:tc>
          <w:tcPr>
            <w:tcW w:w="456" w:type="dxa"/>
            <w:shd w:val="clear" w:color="auto" w:fill="auto"/>
            <w:vAlign w:val="center"/>
          </w:tcPr>
          <w:p w14:paraId="61F04F22">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10</w:t>
            </w:r>
          </w:p>
        </w:tc>
        <w:tc>
          <w:tcPr>
            <w:tcW w:w="1043" w:type="dxa"/>
            <w:gridSpan w:val="2"/>
            <w:vMerge w:val="continue"/>
            <w:vAlign w:val="center"/>
          </w:tcPr>
          <w:p w14:paraId="5B18C76E">
            <w:pPr>
              <w:widowControl/>
              <w:jc w:val="left"/>
              <w:rPr>
                <w:rFonts w:ascii="黑体" w:hAnsi="黑体" w:eastAsia="黑体" w:cs="宋体"/>
                <w:color w:val="000000"/>
                <w:kern w:val="0"/>
                <w:sz w:val="16"/>
                <w:szCs w:val="16"/>
              </w:rPr>
            </w:pPr>
          </w:p>
        </w:tc>
      </w:tr>
      <w:tr w14:paraId="1D94B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1E657562">
            <w:pPr>
              <w:widowControl/>
              <w:jc w:val="left"/>
              <w:rPr>
                <w:rFonts w:ascii="等线" w:hAnsi="等线" w:eastAsia="等线" w:cs="宋体"/>
                <w:color w:val="000000"/>
                <w:kern w:val="0"/>
                <w:sz w:val="16"/>
                <w:szCs w:val="16"/>
              </w:rPr>
            </w:pPr>
          </w:p>
        </w:tc>
        <w:tc>
          <w:tcPr>
            <w:tcW w:w="830" w:type="dxa"/>
            <w:vMerge w:val="continue"/>
            <w:vAlign w:val="center"/>
          </w:tcPr>
          <w:p w14:paraId="3554EA39">
            <w:pPr>
              <w:widowControl/>
              <w:jc w:val="left"/>
              <w:rPr>
                <w:rFonts w:ascii="宋体" w:hAnsi="宋体" w:cs="宋体"/>
                <w:color w:val="000000"/>
                <w:kern w:val="0"/>
                <w:sz w:val="16"/>
                <w:szCs w:val="16"/>
              </w:rPr>
            </w:pPr>
          </w:p>
        </w:tc>
        <w:tc>
          <w:tcPr>
            <w:tcW w:w="988" w:type="dxa"/>
            <w:vMerge w:val="continue"/>
            <w:vAlign w:val="center"/>
          </w:tcPr>
          <w:p w14:paraId="15AA5A56">
            <w:pPr>
              <w:widowControl/>
              <w:jc w:val="left"/>
              <w:rPr>
                <w:rFonts w:ascii="宋体" w:hAnsi="宋体" w:cs="宋体"/>
                <w:color w:val="000000"/>
                <w:kern w:val="0"/>
                <w:sz w:val="16"/>
                <w:szCs w:val="16"/>
              </w:rPr>
            </w:pPr>
          </w:p>
        </w:tc>
        <w:tc>
          <w:tcPr>
            <w:tcW w:w="1081" w:type="dxa"/>
            <w:vMerge w:val="continue"/>
            <w:vAlign w:val="center"/>
          </w:tcPr>
          <w:p w14:paraId="43584F9D">
            <w:pPr>
              <w:widowControl/>
              <w:jc w:val="left"/>
              <w:rPr>
                <w:rFonts w:ascii="宋体" w:hAnsi="宋体" w:cs="宋体"/>
                <w:color w:val="000000"/>
                <w:kern w:val="0"/>
                <w:sz w:val="16"/>
                <w:szCs w:val="16"/>
              </w:rPr>
            </w:pPr>
          </w:p>
        </w:tc>
        <w:tc>
          <w:tcPr>
            <w:tcW w:w="1240" w:type="dxa"/>
            <w:vMerge w:val="continue"/>
            <w:vAlign w:val="center"/>
          </w:tcPr>
          <w:p w14:paraId="2DF3009E">
            <w:pPr>
              <w:widowControl/>
              <w:jc w:val="left"/>
              <w:rPr>
                <w:rFonts w:ascii="宋体" w:hAnsi="宋体" w:cs="宋体"/>
                <w:color w:val="000000"/>
                <w:kern w:val="0"/>
                <w:sz w:val="16"/>
                <w:szCs w:val="16"/>
              </w:rPr>
            </w:pPr>
          </w:p>
        </w:tc>
        <w:tc>
          <w:tcPr>
            <w:tcW w:w="1036" w:type="dxa"/>
            <w:vMerge w:val="continue"/>
            <w:vAlign w:val="center"/>
          </w:tcPr>
          <w:p w14:paraId="5E6B8B48">
            <w:pPr>
              <w:widowControl/>
              <w:jc w:val="left"/>
              <w:rPr>
                <w:rFonts w:ascii="宋体" w:hAnsi="宋体" w:cs="宋体"/>
                <w:color w:val="000000"/>
                <w:kern w:val="0"/>
                <w:sz w:val="16"/>
                <w:szCs w:val="16"/>
              </w:rPr>
            </w:pPr>
          </w:p>
        </w:tc>
        <w:tc>
          <w:tcPr>
            <w:tcW w:w="2148" w:type="dxa"/>
            <w:shd w:val="clear" w:color="auto" w:fill="auto"/>
            <w:vAlign w:val="center"/>
          </w:tcPr>
          <w:p w14:paraId="5ECB39D9">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[90%，95%)</w:t>
            </w:r>
          </w:p>
        </w:tc>
        <w:tc>
          <w:tcPr>
            <w:tcW w:w="456" w:type="dxa"/>
            <w:shd w:val="clear" w:color="auto" w:fill="auto"/>
            <w:vAlign w:val="center"/>
          </w:tcPr>
          <w:p w14:paraId="35771ADD">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354E72BE">
            <w:pPr>
              <w:widowControl/>
              <w:jc w:val="left"/>
              <w:rPr>
                <w:rFonts w:ascii="黑体" w:hAnsi="黑体" w:eastAsia="黑体" w:cs="宋体"/>
                <w:color w:val="000000"/>
                <w:kern w:val="0"/>
                <w:sz w:val="16"/>
                <w:szCs w:val="16"/>
              </w:rPr>
            </w:pPr>
          </w:p>
        </w:tc>
      </w:tr>
      <w:tr w14:paraId="06FF33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580" w:type="dxa"/>
            <w:vMerge w:val="continue"/>
            <w:vAlign w:val="center"/>
          </w:tcPr>
          <w:p w14:paraId="6C41116C">
            <w:pPr>
              <w:widowControl/>
              <w:jc w:val="left"/>
              <w:rPr>
                <w:rFonts w:ascii="等线" w:hAnsi="等线" w:eastAsia="等线" w:cs="宋体"/>
                <w:color w:val="000000"/>
                <w:kern w:val="0"/>
                <w:sz w:val="16"/>
                <w:szCs w:val="16"/>
              </w:rPr>
            </w:pPr>
          </w:p>
        </w:tc>
        <w:tc>
          <w:tcPr>
            <w:tcW w:w="830" w:type="dxa"/>
            <w:vMerge w:val="continue"/>
            <w:vAlign w:val="center"/>
          </w:tcPr>
          <w:p w14:paraId="1746558C">
            <w:pPr>
              <w:widowControl/>
              <w:jc w:val="left"/>
              <w:rPr>
                <w:rFonts w:ascii="宋体" w:hAnsi="宋体" w:cs="宋体"/>
                <w:color w:val="000000"/>
                <w:kern w:val="0"/>
                <w:sz w:val="16"/>
                <w:szCs w:val="16"/>
              </w:rPr>
            </w:pPr>
          </w:p>
        </w:tc>
        <w:tc>
          <w:tcPr>
            <w:tcW w:w="988" w:type="dxa"/>
            <w:vMerge w:val="continue"/>
            <w:vAlign w:val="center"/>
          </w:tcPr>
          <w:p w14:paraId="004C9256">
            <w:pPr>
              <w:widowControl/>
              <w:jc w:val="left"/>
              <w:rPr>
                <w:rFonts w:ascii="宋体" w:hAnsi="宋体" w:cs="宋体"/>
                <w:color w:val="000000"/>
                <w:kern w:val="0"/>
                <w:sz w:val="16"/>
                <w:szCs w:val="16"/>
              </w:rPr>
            </w:pPr>
          </w:p>
        </w:tc>
        <w:tc>
          <w:tcPr>
            <w:tcW w:w="1081" w:type="dxa"/>
            <w:vMerge w:val="continue"/>
            <w:vAlign w:val="center"/>
          </w:tcPr>
          <w:p w14:paraId="1496A2BE">
            <w:pPr>
              <w:widowControl/>
              <w:jc w:val="left"/>
              <w:rPr>
                <w:rFonts w:ascii="宋体" w:hAnsi="宋体" w:cs="宋体"/>
                <w:color w:val="000000"/>
                <w:kern w:val="0"/>
                <w:sz w:val="16"/>
                <w:szCs w:val="16"/>
              </w:rPr>
            </w:pPr>
          </w:p>
        </w:tc>
        <w:tc>
          <w:tcPr>
            <w:tcW w:w="1240" w:type="dxa"/>
            <w:vMerge w:val="continue"/>
            <w:vAlign w:val="center"/>
          </w:tcPr>
          <w:p w14:paraId="71EE2106">
            <w:pPr>
              <w:widowControl/>
              <w:jc w:val="left"/>
              <w:rPr>
                <w:rFonts w:ascii="宋体" w:hAnsi="宋体" w:cs="宋体"/>
                <w:color w:val="000000"/>
                <w:kern w:val="0"/>
                <w:sz w:val="16"/>
                <w:szCs w:val="16"/>
              </w:rPr>
            </w:pPr>
          </w:p>
        </w:tc>
        <w:tc>
          <w:tcPr>
            <w:tcW w:w="1036" w:type="dxa"/>
            <w:vMerge w:val="continue"/>
            <w:vAlign w:val="center"/>
          </w:tcPr>
          <w:p w14:paraId="5775CEC2">
            <w:pPr>
              <w:widowControl/>
              <w:jc w:val="left"/>
              <w:rPr>
                <w:rFonts w:ascii="宋体" w:hAnsi="宋体" w:cs="宋体"/>
                <w:color w:val="000000"/>
                <w:kern w:val="0"/>
                <w:sz w:val="16"/>
                <w:szCs w:val="16"/>
              </w:rPr>
            </w:pPr>
          </w:p>
        </w:tc>
        <w:tc>
          <w:tcPr>
            <w:tcW w:w="2148" w:type="dxa"/>
            <w:shd w:val="clear" w:color="auto" w:fill="auto"/>
            <w:vAlign w:val="center"/>
          </w:tcPr>
          <w:p w14:paraId="5D89C3F6">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＜90%</w:t>
            </w:r>
          </w:p>
        </w:tc>
        <w:tc>
          <w:tcPr>
            <w:tcW w:w="456" w:type="dxa"/>
            <w:shd w:val="clear" w:color="auto" w:fill="auto"/>
            <w:vAlign w:val="center"/>
          </w:tcPr>
          <w:p w14:paraId="092FAC42">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04F00512">
            <w:pPr>
              <w:widowControl/>
              <w:jc w:val="left"/>
              <w:rPr>
                <w:rFonts w:ascii="黑体" w:hAnsi="黑体" w:eastAsia="黑体" w:cs="宋体"/>
                <w:color w:val="000000"/>
                <w:kern w:val="0"/>
                <w:sz w:val="16"/>
                <w:szCs w:val="16"/>
              </w:rPr>
            </w:pPr>
          </w:p>
        </w:tc>
      </w:tr>
      <w:tr w14:paraId="1D4412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076D0BF3">
            <w:pPr>
              <w:widowControl/>
              <w:jc w:val="left"/>
              <w:rPr>
                <w:rFonts w:ascii="等线" w:hAnsi="等线" w:eastAsia="等线" w:cs="宋体"/>
                <w:color w:val="000000"/>
                <w:kern w:val="0"/>
                <w:sz w:val="16"/>
                <w:szCs w:val="16"/>
              </w:rPr>
            </w:pPr>
          </w:p>
        </w:tc>
        <w:tc>
          <w:tcPr>
            <w:tcW w:w="830" w:type="dxa"/>
            <w:vMerge w:val="continue"/>
            <w:vAlign w:val="center"/>
          </w:tcPr>
          <w:p w14:paraId="7D7015EE">
            <w:pPr>
              <w:widowControl/>
              <w:jc w:val="left"/>
              <w:rPr>
                <w:rFonts w:ascii="宋体" w:hAnsi="宋体" w:cs="宋体"/>
                <w:color w:val="000000"/>
                <w:kern w:val="0"/>
                <w:sz w:val="16"/>
                <w:szCs w:val="16"/>
              </w:rPr>
            </w:pPr>
          </w:p>
        </w:tc>
        <w:tc>
          <w:tcPr>
            <w:tcW w:w="988" w:type="dxa"/>
            <w:vMerge w:val="continue"/>
            <w:vAlign w:val="center"/>
          </w:tcPr>
          <w:p w14:paraId="5006558E">
            <w:pPr>
              <w:widowControl/>
              <w:jc w:val="left"/>
              <w:rPr>
                <w:rFonts w:ascii="宋体" w:hAnsi="宋体" w:cs="宋体"/>
                <w:color w:val="000000"/>
                <w:kern w:val="0"/>
                <w:sz w:val="16"/>
                <w:szCs w:val="16"/>
              </w:rPr>
            </w:pPr>
          </w:p>
        </w:tc>
        <w:tc>
          <w:tcPr>
            <w:tcW w:w="1081" w:type="dxa"/>
            <w:vMerge w:val="restart"/>
            <w:shd w:val="clear" w:color="auto" w:fill="auto"/>
            <w:vAlign w:val="center"/>
          </w:tcPr>
          <w:p w14:paraId="1E0CF970">
            <w:pPr>
              <w:widowControl/>
              <w:jc w:val="center"/>
              <w:rPr>
                <w:rFonts w:ascii="宋体" w:hAnsi="宋体" w:cs="宋体"/>
                <w:color w:val="000000"/>
                <w:kern w:val="0"/>
                <w:sz w:val="16"/>
                <w:szCs w:val="16"/>
              </w:rPr>
            </w:pPr>
            <w:r>
              <w:rPr>
                <w:rFonts w:hint="eastAsia" w:ascii="宋体" w:hAnsi="宋体" w:cs="宋体"/>
                <w:color w:val="000000"/>
                <w:kern w:val="0"/>
                <w:sz w:val="16"/>
                <w:szCs w:val="16"/>
              </w:rPr>
              <w:t>出厂试验项目缺陷</w:t>
            </w:r>
          </w:p>
        </w:tc>
        <w:tc>
          <w:tcPr>
            <w:tcW w:w="1240" w:type="dxa"/>
            <w:vMerge w:val="restart"/>
            <w:shd w:val="clear" w:color="auto" w:fill="auto"/>
            <w:vAlign w:val="center"/>
          </w:tcPr>
          <w:p w14:paraId="72C9F0C9">
            <w:pPr>
              <w:widowControl/>
              <w:jc w:val="center"/>
              <w:rPr>
                <w:rFonts w:ascii="宋体" w:hAnsi="宋体" w:cs="宋体"/>
                <w:color w:val="000000"/>
                <w:kern w:val="0"/>
                <w:sz w:val="16"/>
                <w:szCs w:val="16"/>
              </w:rPr>
            </w:pPr>
            <w:r>
              <w:rPr>
                <w:rFonts w:hint="eastAsia" w:ascii="宋体" w:hAnsi="宋体" w:cs="宋体"/>
                <w:color w:val="000000"/>
                <w:kern w:val="0"/>
                <w:sz w:val="16"/>
                <w:szCs w:val="16"/>
              </w:rPr>
              <w:t>出厂试验项目缺陷等级</w:t>
            </w:r>
          </w:p>
        </w:tc>
        <w:tc>
          <w:tcPr>
            <w:tcW w:w="1036" w:type="dxa"/>
            <w:vMerge w:val="restart"/>
            <w:shd w:val="clear" w:color="auto" w:fill="auto"/>
            <w:vAlign w:val="center"/>
          </w:tcPr>
          <w:p w14:paraId="48274A93">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2664D779">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0缺陷</w:t>
            </w:r>
          </w:p>
        </w:tc>
        <w:tc>
          <w:tcPr>
            <w:tcW w:w="456" w:type="dxa"/>
            <w:shd w:val="clear" w:color="000000" w:fill="D9D9D9"/>
            <w:vAlign w:val="center"/>
          </w:tcPr>
          <w:p w14:paraId="05AB1048">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10</w:t>
            </w:r>
          </w:p>
        </w:tc>
        <w:tc>
          <w:tcPr>
            <w:tcW w:w="1043" w:type="dxa"/>
            <w:gridSpan w:val="2"/>
            <w:vMerge w:val="continue"/>
            <w:vAlign w:val="center"/>
          </w:tcPr>
          <w:p w14:paraId="0E9C4D09">
            <w:pPr>
              <w:widowControl/>
              <w:jc w:val="left"/>
              <w:rPr>
                <w:rFonts w:ascii="黑体" w:hAnsi="黑体" w:eastAsia="黑体" w:cs="宋体"/>
                <w:color w:val="000000"/>
                <w:kern w:val="0"/>
                <w:sz w:val="16"/>
                <w:szCs w:val="16"/>
              </w:rPr>
            </w:pPr>
          </w:p>
        </w:tc>
      </w:tr>
      <w:tr w14:paraId="217EED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5788CBF1">
            <w:pPr>
              <w:widowControl/>
              <w:jc w:val="left"/>
              <w:rPr>
                <w:rFonts w:ascii="等线" w:hAnsi="等线" w:eastAsia="等线" w:cs="宋体"/>
                <w:color w:val="000000"/>
                <w:kern w:val="0"/>
                <w:sz w:val="16"/>
                <w:szCs w:val="16"/>
              </w:rPr>
            </w:pPr>
          </w:p>
        </w:tc>
        <w:tc>
          <w:tcPr>
            <w:tcW w:w="830" w:type="dxa"/>
            <w:vMerge w:val="continue"/>
            <w:vAlign w:val="center"/>
          </w:tcPr>
          <w:p w14:paraId="3604CE25">
            <w:pPr>
              <w:widowControl/>
              <w:jc w:val="left"/>
              <w:rPr>
                <w:rFonts w:ascii="宋体" w:hAnsi="宋体" w:cs="宋体"/>
                <w:color w:val="000000"/>
                <w:kern w:val="0"/>
                <w:sz w:val="16"/>
                <w:szCs w:val="16"/>
              </w:rPr>
            </w:pPr>
          </w:p>
        </w:tc>
        <w:tc>
          <w:tcPr>
            <w:tcW w:w="988" w:type="dxa"/>
            <w:vMerge w:val="continue"/>
            <w:vAlign w:val="center"/>
          </w:tcPr>
          <w:p w14:paraId="71652300">
            <w:pPr>
              <w:widowControl/>
              <w:jc w:val="left"/>
              <w:rPr>
                <w:rFonts w:ascii="宋体" w:hAnsi="宋体" w:cs="宋体"/>
                <w:color w:val="000000"/>
                <w:kern w:val="0"/>
                <w:sz w:val="16"/>
                <w:szCs w:val="16"/>
              </w:rPr>
            </w:pPr>
          </w:p>
        </w:tc>
        <w:tc>
          <w:tcPr>
            <w:tcW w:w="1081" w:type="dxa"/>
            <w:vMerge w:val="continue"/>
            <w:vAlign w:val="center"/>
          </w:tcPr>
          <w:p w14:paraId="4FFCB4BB">
            <w:pPr>
              <w:widowControl/>
              <w:jc w:val="left"/>
              <w:rPr>
                <w:rFonts w:ascii="宋体" w:hAnsi="宋体" w:cs="宋体"/>
                <w:color w:val="000000"/>
                <w:kern w:val="0"/>
                <w:sz w:val="16"/>
                <w:szCs w:val="16"/>
              </w:rPr>
            </w:pPr>
          </w:p>
        </w:tc>
        <w:tc>
          <w:tcPr>
            <w:tcW w:w="1240" w:type="dxa"/>
            <w:vMerge w:val="continue"/>
            <w:vAlign w:val="center"/>
          </w:tcPr>
          <w:p w14:paraId="2CAE3BFB">
            <w:pPr>
              <w:widowControl/>
              <w:jc w:val="left"/>
              <w:rPr>
                <w:rFonts w:ascii="宋体" w:hAnsi="宋体" w:cs="宋体"/>
                <w:color w:val="000000"/>
                <w:kern w:val="0"/>
                <w:sz w:val="16"/>
                <w:szCs w:val="16"/>
              </w:rPr>
            </w:pPr>
          </w:p>
        </w:tc>
        <w:tc>
          <w:tcPr>
            <w:tcW w:w="1036" w:type="dxa"/>
            <w:vMerge w:val="continue"/>
            <w:vAlign w:val="center"/>
          </w:tcPr>
          <w:p w14:paraId="333FE20D">
            <w:pPr>
              <w:widowControl/>
              <w:jc w:val="left"/>
              <w:rPr>
                <w:rFonts w:ascii="宋体" w:hAnsi="宋体" w:cs="宋体"/>
                <w:color w:val="000000"/>
                <w:kern w:val="0"/>
                <w:sz w:val="16"/>
                <w:szCs w:val="16"/>
              </w:rPr>
            </w:pPr>
          </w:p>
        </w:tc>
        <w:tc>
          <w:tcPr>
            <w:tcW w:w="2148" w:type="dxa"/>
            <w:shd w:val="clear" w:color="auto" w:fill="auto"/>
            <w:vAlign w:val="center"/>
          </w:tcPr>
          <w:p w14:paraId="34CFECB5">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C</w:t>
            </w:r>
          </w:p>
        </w:tc>
        <w:tc>
          <w:tcPr>
            <w:tcW w:w="456" w:type="dxa"/>
            <w:shd w:val="clear" w:color="auto" w:fill="auto"/>
            <w:vAlign w:val="center"/>
          </w:tcPr>
          <w:p w14:paraId="27B8A962">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7246CEF8">
            <w:pPr>
              <w:widowControl/>
              <w:jc w:val="left"/>
              <w:rPr>
                <w:rFonts w:ascii="黑体" w:hAnsi="黑体" w:eastAsia="黑体" w:cs="宋体"/>
                <w:color w:val="000000"/>
                <w:kern w:val="0"/>
                <w:sz w:val="16"/>
                <w:szCs w:val="16"/>
              </w:rPr>
            </w:pPr>
          </w:p>
        </w:tc>
      </w:tr>
      <w:tr w14:paraId="53BEC8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1D5876AC">
            <w:pPr>
              <w:widowControl/>
              <w:jc w:val="left"/>
              <w:rPr>
                <w:rFonts w:ascii="等线" w:hAnsi="等线" w:eastAsia="等线" w:cs="宋体"/>
                <w:color w:val="000000"/>
                <w:kern w:val="0"/>
                <w:sz w:val="16"/>
                <w:szCs w:val="16"/>
              </w:rPr>
            </w:pPr>
          </w:p>
        </w:tc>
        <w:tc>
          <w:tcPr>
            <w:tcW w:w="830" w:type="dxa"/>
            <w:vMerge w:val="continue"/>
            <w:vAlign w:val="center"/>
          </w:tcPr>
          <w:p w14:paraId="65CD5662">
            <w:pPr>
              <w:widowControl/>
              <w:jc w:val="left"/>
              <w:rPr>
                <w:rFonts w:ascii="宋体" w:hAnsi="宋体" w:cs="宋体"/>
                <w:color w:val="000000"/>
                <w:kern w:val="0"/>
                <w:sz w:val="16"/>
                <w:szCs w:val="16"/>
              </w:rPr>
            </w:pPr>
          </w:p>
        </w:tc>
        <w:tc>
          <w:tcPr>
            <w:tcW w:w="988" w:type="dxa"/>
            <w:vMerge w:val="continue"/>
            <w:vAlign w:val="center"/>
          </w:tcPr>
          <w:p w14:paraId="1177ECC2">
            <w:pPr>
              <w:widowControl/>
              <w:jc w:val="left"/>
              <w:rPr>
                <w:rFonts w:ascii="宋体" w:hAnsi="宋体" w:cs="宋体"/>
                <w:color w:val="000000"/>
                <w:kern w:val="0"/>
                <w:sz w:val="16"/>
                <w:szCs w:val="16"/>
              </w:rPr>
            </w:pPr>
          </w:p>
        </w:tc>
        <w:tc>
          <w:tcPr>
            <w:tcW w:w="1081" w:type="dxa"/>
            <w:vMerge w:val="continue"/>
            <w:vAlign w:val="center"/>
          </w:tcPr>
          <w:p w14:paraId="40C28B52">
            <w:pPr>
              <w:widowControl/>
              <w:jc w:val="left"/>
              <w:rPr>
                <w:rFonts w:ascii="宋体" w:hAnsi="宋体" w:cs="宋体"/>
                <w:color w:val="000000"/>
                <w:kern w:val="0"/>
                <w:sz w:val="16"/>
                <w:szCs w:val="16"/>
              </w:rPr>
            </w:pPr>
          </w:p>
        </w:tc>
        <w:tc>
          <w:tcPr>
            <w:tcW w:w="1240" w:type="dxa"/>
            <w:vMerge w:val="continue"/>
            <w:vAlign w:val="center"/>
          </w:tcPr>
          <w:p w14:paraId="02678F27">
            <w:pPr>
              <w:widowControl/>
              <w:jc w:val="left"/>
              <w:rPr>
                <w:rFonts w:ascii="宋体" w:hAnsi="宋体" w:cs="宋体"/>
                <w:color w:val="000000"/>
                <w:kern w:val="0"/>
                <w:sz w:val="16"/>
                <w:szCs w:val="16"/>
              </w:rPr>
            </w:pPr>
          </w:p>
        </w:tc>
        <w:tc>
          <w:tcPr>
            <w:tcW w:w="1036" w:type="dxa"/>
            <w:vMerge w:val="continue"/>
            <w:vAlign w:val="center"/>
          </w:tcPr>
          <w:p w14:paraId="59EB6DC9">
            <w:pPr>
              <w:widowControl/>
              <w:jc w:val="left"/>
              <w:rPr>
                <w:rFonts w:ascii="宋体" w:hAnsi="宋体" w:cs="宋体"/>
                <w:color w:val="000000"/>
                <w:kern w:val="0"/>
                <w:sz w:val="16"/>
                <w:szCs w:val="16"/>
              </w:rPr>
            </w:pPr>
          </w:p>
        </w:tc>
        <w:tc>
          <w:tcPr>
            <w:tcW w:w="2148" w:type="dxa"/>
            <w:shd w:val="clear" w:color="auto" w:fill="auto"/>
            <w:vAlign w:val="center"/>
          </w:tcPr>
          <w:p w14:paraId="37DF8EB7">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有1项B</w:t>
            </w:r>
          </w:p>
        </w:tc>
        <w:tc>
          <w:tcPr>
            <w:tcW w:w="456" w:type="dxa"/>
            <w:shd w:val="clear" w:color="auto" w:fill="auto"/>
            <w:vAlign w:val="center"/>
          </w:tcPr>
          <w:p w14:paraId="1672D308">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w:t>
            </w:r>
          </w:p>
        </w:tc>
        <w:tc>
          <w:tcPr>
            <w:tcW w:w="1043" w:type="dxa"/>
            <w:gridSpan w:val="2"/>
            <w:vMerge w:val="continue"/>
            <w:vAlign w:val="center"/>
          </w:tcPr>
          <w:p w14:paraId="4E16977F">
            <w:pPr>
              <w:widowControl/>
              <w:jc w:val="left"/>
              <w:rPr>
                <w:rFonts w:ascii="黑体" w:hAnsi="黑体" w:eastAsia="黑体" w:cs="宋体"/>
                <w:color w:val="000000"/>
                <w:kern w:val="0"/>
                <w:sz w:val="16"/>
                <w:szCs w:val="16"/>
              </w:rPr>
            </w:pPr>
          </w:p>
        </w:tc>
      </w:tr>
      <w:tr w14:paraId="27C74D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592AC00F">
            <w:pPr>
              <w:widowControl/>
              <w:jc w:val="left"/>
              <w:rPr>
                <w:rFonts w:ascii="等线" w:hAnsi="等线" w:eastAsia="等线" w:cs="宋体"/>
                <w:color w:val="000000"/>
                <w:kern w:val="0"/>
                <w:sz w:val="16"/>
                <w:szCs w:val="16"/>
              </w:rPr>
            </w:pPr>
          </w:p>
        </w:tc>
        <w:tc>
          <w:tcPr>
            <w:tcW w:w="830" w:type="dxa"/>
            <w:vMerge w:val="continue"/>
            <w:vAlign w:val="center"/>
          </w:tcPr>
          <w:p w14:paraId="5816D9E3">
            <w:pPr>
              <w:widowControl/>
              <w:jc w:val="left"/>
              <w:rPr>
                <w:rFonts w:ascii="宋体" w:hAnsi="宋体" w:cs="宋体"/>
                <w:color w:val="000000"/>
                <w:kern w:val="0"/>
                <w:sz w:val="16"/>
                <w:szCs w:val="16"/>
              </w:rPr>
            </w:pPr>
          </w:p>
        </w:tc>
        <w:tc>
          <w:tcPr>
            <w:tcW w:w="988" w:type="dxa"/>
            <w:vMerge w:val="continue"/>
            <w:vAlign w:val="center"/>
          </w:tcPr>
          <w:p w14:paraId="7FB1BC84">
            <w:pPr>
              <w:widowControl/>
              <w:jc w:val="left"/>
              <w:rPr>
                <w:rFonts w:ascii="宋体" w:hAnsi="宋体" w:cs="宋体"/>
                <w:color w:val="000000"/>
                <w:kern w:val="0"/>
                <w:sz w:val="16"/>
                <w:szCs w:val="16"/>
              </w:rPr>
            </w:pPr>
          </w:p>
        </w:tc>
        <w:tc>
          <w:tcPr>
            <w:tcW w:w="1081" w:type="dxa"/>
            <w:vMerge w:val="continue"/>
            <w:vAlign w:val="center"/>
          </w:tcPr>
          <w:p w14:paraId="609A1919">
            <w:pPr>
              <w:widowControl/>
              <w:jc w:val="left"/>
              <w:rPr>
                <w:rFonts w:ascii="宋体" w:hAnsi="宋体" w:cs="宋体"/>
                <w:color w:val="000000"/>
                <w:kern w:val="0"/>
                <w:sz w:val="16"/>
                <w:szCs w:val="16"/>
              </w:rPr>
            </w:pPr>
          </w:p>
        </w:tc>
        <w:tc>
          <w:tcPr>
            <w:tcW w:w="1240" w:type="dxa"/>
            <w:vMerge w:val="continue"/>
            <w:vAlign w:val="center"/>
          </w:tcPr>
          <w:p w14:paraId="12C1CBBF">
            <w:pPr>
              <w:widowControl/>
              <w:jc w:val="left"/>
              <w:rPr>
                <w:rFonts w:ascii="宋体" w:hAnsi="宋体" w:cs="宋体"/>
                <w:color w:val="000000"/>
                <w:kern w:val="0"/>
                <w:sz w:val="16"/>
                <w:szCs w:val="16"/>
              </w:rPr>
            </w:pPr>
          </w:p>
        </w:tc>
        <w:tc>
          <w:tcPr>
            <w:tcW w:w="1036" w:type="dxa"/>
            <w:vMerge w:val="continue"/>
            <w:vAlign w:val="center"/>
          </w:tcPr>
          <w:p w14:paraId="2FB214F0">
            <w:pPr>
              <w:widowControl/>
              <w:jc w:val="left"/>
              <w:rPr>
                <w:rFonts w:ascii="宋体" w:hAnsi="宋体" w:cs="宋体"/>
                <w:color w:val="000000"/>
                <w:kern w:val="0"/>
                <w:sz w:val="16"/>
                <w:szCs w:val="16"/>
              </w:rPr>
            </w:pPr>
          </w:p>
        </w:tc>
        <w:tc>
          <w:tcPr>
            <w:tcW w:w="2148" w:type="dxa"/>
            <w:shd w:val="clear" w:color="auto" w:fill="auto"/>
            <w:vAlign w:val="center"/>
          </w:tcPr>
          <w:p w14:paraId="5DD9F7A7">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有1项A</w:t>
            </w:r>
          </w:p>
        </w:tc>
        <w:tc>
          <w:tcPr>
            <w:tcW w:w="456" w:type="dxa"/>
            <w:shd w:val="clear" w:color="auto" w:fill="auto"/>
            <w:vAlign w:val="center"/>
          </w:tcPr>
          <w:p w14:paraId="0DFEB1EA">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7EFC153A">
            <w:pPr>
              <w:widowControl/>
              <w:jc w:val="left"/>
              <w:rPr>
                <w:rFonts w:ascii="黑体" w:hAnsi="黑体" w:eastAsia="黑体" w:cs="宋体"/>
                <w:color w:val="000000"/>
                <w:kern w:val="0"/>
                <w:sz w:val="16"/>
                <w:szCs w:val="16"/>
              </w:rPr>
            </w:pPr>
          </w:p>
        </w:tc>
      </w:tr>
      <w:tr w14:paraId="5FEF81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restart"/>
            <w:shd w:val="clear" w:color="auto" w:fill="auto"/>
            <w:vAlign w:val="center"/>
          </w:tcPr>
          <w:p w14:paraId="23EB81C5">
            <w:pPr>
              <w:widowControl/>
              <w:jc w:val="center"/>
              <w:rPr>
                <w:rFonts w:ascii="等线" w:hAnsi="等线" w:eastAsia="等线" w:cs="宋体"/>
                <w:color w:val="000000"/>
                <w:kern w:val="0"/>
                <w:sz w:val="16"/>
                <w:szCs w:val="16"/>
              </w:rPr>
            </w:pPr>
            <w:r>
              <w:rPr>
                <w:rFonts w:ascii="等线" w:hAnsi="等线" w:eastAsia="等线" w:cs="宋体"/>
                <w:color w:val="000000"/>
                <w:kern w:val="0"/>
                <w:sz w:val="16"/>
                <w:szCs w:val="16"/>
              </w:rPr>
              <w:t>2</w:t>
            </w:r>
          </w:p>
        </w:tc>
        <w:tc>
          <w:tcPr>
            <w:tcW w:w="830" w:type="dxa"/>
            <w:vMerge w:val="restart"/>
            <w:shd w:val="clear" w:color="auto" w:fill="auto"/>
            <w:vAlign w:val="center"/>
          </w:tcPr>
          <w:p w14:paraId="1CDE1D2A">
            <w:pPr>
              <w:widowControl/>
              <w:jc w:val="center"/>
              <w:rPr>
                <w:rFonts w:ascii="宋体" w:hAnsi="宋体" w:cs="宋体"/>
                <w:color w:val="000000"/>
                <w:kern w:val="0"/>
                <w:sz w:val="16"/>
                <w:szCs w:val="16"/>
              </w:rPr>
            </w:pPr>
            <w:r>
              <w:rPr>
                <w:rFonts w:hint="eastAsia" w:ascii="宋体" w:hAnsi="宋体" w:cs="宋体"/>
                <w:color w:val="000000"/>
                <w:kern w:val="0"/>
                <w:sz w:val="16"/>
                <w:szCs w:val="16"/>
              </w:rPr>
              <w:t>设备</w:t>
            </w:r>
          </w:p>
          <w:p w14:paraId="10118963">
            <w:pPr>
              <w:widowControl/>
              <w:jc w:val="center"/>
              <w:rPr>
                <w:rFonts w:ascii="宋体" w:hAnsi="宋体" w:cs="宋体"/>
                <w:color w:val="000000"/>
                <w:kern w:val="0"/>
                <w:sz w:val="16"/>
                <w:szCs w:val="16"/>
              </w:rPr>
            </w:pPr>
            <w:r>
              <w:rPr>
                <w:rFonts w:hint="eastAsia" w:ascii="宋体" w:hAnsi="宋体" w:cs="宋体"/>
                <w:color w:val="000000"/>
                <w:kern w:val="0"/>
                <w:sz w:val="16"/>
                <w:szCs w:val="16"/>
              </w:rPr>
              <w:t>抽检</w:t>
            </w:r>
          </w:p>
        </w:tc>
        <w:tc>
          <w:tcPr>
            <w:tcW w:w="988" w:type="dxa"/>
            <w:vMerge w:val="restart"/>
            <w:shd w:val="clear" w:color="auto" w:fill="auto"/>
            <w:vAlign w:val="center"/>
          </w:tcPr>
          <w:p w14:paraId="0BD04621">
            <w:pPr>
              <w:widowControl/>
              <w:jc w:val="center"/>
              <w:rPr>
                <w:rFonts w:ascii="宋体" w:hAnsi="宋体" w:cs="宋体"/>
                <w:color w:val="000000"/>
                <w:kern w:val="0"/>
                <w:sz w:val="16"/>
                <w:szCs w:val="16"/>
              </w:rPr>
            </w:pPr>
            <w:r>
              <w:rPr>
                <w:rFonts w:hint="eastAsia" w:ascii="宋体" w:hAnsi="宋体" w:cs="宋体"/>
                <w:color w:val="000000"/>
                <w:kern w:val="0"/>
                <w:sz w:val="16"/>
                <w:szCs w:val="16"/>
              </w:rPr>
              <w:t>到货抽检</w:t>
            </w:r>
          </w:p>
        </w:tc>
        <w:tc>
          <w:tcPr>
            <w:tcW w:w="1081" w:type="dxa"/>
            <w:vMerge w:val="restart"/>
            <w:shd w:val="clear" w:color="auto" w:fill="auto"/>
            <w:vAlign w:val="center"/>
          </w:tcPr>
          <w:p w14:paraId="501F0514">
            <w:pPr>
              <w:widowControl/>
              <w:jc w:val="center"/>
              <w:rPr>
                <w:rFonts w:ascii="宋体" w:hAnsi="宋体" w:cs="宋体"/>
                <w:color w:val="000000"/>
                <w:kern w:val="0"/>
                <w:sz w:val="16"/>
                <w:szCs w:val="16"/>
              </w:rPr>
            </w:pPr>
            <w:r>
              <w:rPr>
                <w:rFonts w:hint="eastAsia" w:ascii="宋体" w:hAnsi="宋体" w:cs="宋体"/>
                <w:color w:val="000000"/>
                <w:kern w:val="0"/>
                <w:sz w:val="16"/>
                <w:szCs w:val="16"/>
              </w:rPr>
              <w:t>抽检结果</w:t>
            </w:r>
          </w:p>
        </w:tc>
        <w:tc>
          <w:tcPr>
            <w:tcW w:w="1240" w:type="dxa"/>
            <w:vMerge w:val="restart"/>
            <w:shd w:val="clear" w:color="auto" w:fill="auto"/>
            <w:vAlign w:val="center"/>
          </w:tcPr>
          <w:p w14:paraId="5112A6BB">
            <w:pPr>
              <w:widowControl/>
              <w:jc w:val="center"/>
              <w:rPr>
                <w:rFonts w:ascii="宋体" w:hAnsi="宋体" w:cs="宋体"/>
                <w:color w:val="000000"/>
                <w:kern w:val="0"/>
                <w:sz w:val="16"/>
                <w:szCs w:val="16"/>
              </w:rPr>
            </w:pPr>
            <w:r>
              <w:rPr>
                <w:rFonts w:hint="eastAsia" w:ascii="宋体" w:hAnsi="宋体" w:cs="宋体"/>
                <w:color w:val="000000"/>
                <w:kern w:val="0"/>
                <w:sz w:val="16"/>
                <w:szCs w:val="16"/>
              </w:rPr>
              <w:t>合格率</w:t>
            </w:r>
          </w:p>
        </w:tc>
        <w:tc>
          <w:tcPr>
            <w:tcW w:w="1036" w:type="dxa"/>
            <w:vMerge w:val="restart"/>
            <w:shd w:val="clear" w:color="auto" w:fill="auto"/>
            <w:vAlign w:val="center"/>
          </w:tcPr>
          <w:p w14:paraId="5393454D">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53D66DFE">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100%</w:t>
            </w:r>
          </w:p>
        </w:tc>
        <w:tc>
          <w:tcPr>
            <w:tcW w:w="456" w:type="dxa"/>
            <w:shd w:val="clear" w:color="000000" w:fill="D9D9D9"/>
            <w:vAlign w:val="center"/>
          </w:tcPr>
          <w:p w14:paraId="64468D00">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6</w:t>
            </w:r>
            <w:r>
              <w:rPr>
                <w:rFonts w:hint="eastAsia" w:ascii="黑体" w:hAnsi="黑体" w:eastAsia="黑体" w:cs="宋体"/>
                <w:color w:val="000000"/>
                <w:kern w:val="0"/>
                <w:sz w:val="16"/>
                <w:szCs w:val="16"/>
              </w:rPr>
              <w:t>0</w:t>
            </w:r>
          </w:p>
        </w:tc>
        <w:tc>
          <w:tcPr>
            <w:tcW w:w="1043" w:type="dxa"/>
            <w:gridSpan w:val="2"/>
            <w:vMerge w:val="restart"/>
            <w:vAlign w:val="center"/>
          </w:tcPr>
          <w:p w14:paraId="019C3024">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r>
              <w:rPr>
                <w:rFonts w:ascii="黑体" w:hAnsi="黑体" w:eastAsia="黑体" w:cs="宋体"/>
                <w:color w:val="000000"/>
                <w:kern w:val="0"/>
                <w:sz w:val="16"/>
                <w:szCs w:val="16"/>
              </w:rPr>
              <w:t>100</w:t>
            </w:r>
          </w:p>
        </w:tc>
      </w:tr>
      <w:tr w14:paraId="5290CA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023CCDF0">
            <w:pPr>
              <w:widowControl/>
              <w:jc w:val="left"/>
              <w:rPr>
                <w:rFonts w:ascii="等线" w:hAnsi="等线" w:eastAsia="等线" w:cs="宋体"/>
                <w:color w:val="000000"/>
                <w:kern w:val="0"/>
                <w:sz w:val="16"/>
                <w:szCs w:val="16"/>
              </w:rPr>
            </w:pPr>
          </w:p>
        </w:tc>
        <w:tc>
          <w:tcPr>
            <w:tcW w:w="830" w:type="dxa"/>
            <w:vMerge w:val="continue"/>
            <w:vAlign w:val="center"/>
          </w:tcPr>
          <w:p w14:paraId="71B51C8B">
            <w:pPr>
              <w:widowControl/>
              <w:jc w:val="left"/>
              <w:rPr>
                <w:rFonts w:ascii="宋体" w:hAnsi="宋体" w:cs="宋体"/>
                <w:color w:val="000000"/>
                <w:kern w:val="0"/>
                <w:sz w:val="16"/>
                <w:szCs w:val="16"/>
              </w:rPr>
            </w:pPr>
          </w:p>
        </w:tc>
        <w:tc>
          <w:tcPr>
            <w:tcW w:w="988" w:type="dxa"/>
            <w:vMerge w:val="continue"/>
            <w:vAlign w:val="center"/>
          </w:tcPr>
          <w:p w14:paraId="4C14EEB8">
            <w:pPr>
              <w:widowControl/>
              <w:jc w:val="left"/>
              <w:rPr>
                <w:rFonts w:ascii="宋体" w:hAnsi="宋体" w:cs="宋体"/>
                <w:color w:val="000000"/>
                <w:kern w:val="0"/>
                <w:sz w:val="16"/>
                <w:szCs w:val="16"/>
              </w:rPr>
            </w:pPr>
          </w:p>
        </w:tc>
        <w:tc>
          <w:tcPr>
            <w:tcW w:w="1081" w:type="dxa"/>
            <w:vMerge w:val="continue"/>
            <w:vAlign w:val="center"/>
          </w:tcPr>
          <w:p w14:paraId="5A16DABD">
            <w:pPr>
              <w:widowControl/>
              <w:jc w:val="left"/>
              <w:rPr>
                <w:rFonts w:ascii="宋体" w:hAnsi="宋体" w:cs="宋体"/>
                <w:color w:val="000000"/>
                <w:kern w:val="0"/>
                <w:sz w:val="16"/>
                <w:szCs w:val="16"/>
              </w:rPr>
            </w:pPr>
          </w:p>
        </w:tc>
        <w:tc>
          <w:tcPr>
            <w:tcW w:w="1240" w:type="dxa"/>
            <w:vMerge w:val="continue"/>
            <w:vAlign w:val="center"/>
          </w:tcPr>
          <w:p w14:paraId="39D272F5">
            <w:pPr>
              <w:widowControl/>
              <w:jc w:val="left"/>
              <w:rPr>
                <w:rFonts w:ascii="宋体" w:hAnsi="宋体" w:cs="宋体"/>
                <w:color w:val="000000"/>
                <w:kern w:val="0"/>
                <w:sz w:val="16"/>
                <w:szCs w:val="16"/>
              </w:rPr>
            </w:pPr>
          </w:p>
        </w:tc>
        <w:tc>
          <w:tcPr>
            <w:tcW w:w="1036" w:type="dxa"/>
            <w:vMerge w:val="continue"/>
            <w:vAlign w:val="center"/>
          </w:tcPr>
          <w:p w14:paraId="5990E2DD">
            <w:pPr>
              <w:widowControl/>
              <w:jc w:val="left"/>
              <w:rPr>
                <w:rFonts w:ascii="宋体" w:hAnsi="宋体" w:cs="宋体"/>
                <w:color w:val="000000"/>
                <w:kern w:val="0"/>
                <w:sz w:val="16"/>
                <w:szCs w:val="16"/>
              </w:rPr>
            </w:pPr>
          </w:p>
        </w:tc>
        <w:tc>
          <w:tcPr>
            <w:tcW w:w="2148" w:type="dxa"/>
            <w:shd w:val="clear" w:color="auto" w:fill="auto"/>
            <w:vAlign w:val="center"/>
          </w:tcPr>
          <w:p w14:paraId="265C2B87">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[90%，100%</w:t>
            </w:r>
            <w:r>
              <w:rPr>
                <w:rFonts w:ascii="宋体" w:hAnsi="宋体" w:cs="宋体"/>
                <w:color w:val="000000"/>
                <w:kern w:val="0"/>
                <w:sz w:val="16"/>
                <w:szCs w:val="16"/>
              </w:rPr>
              <w:t>)</w:t>
            </w:r>
          </w:p>
        </w:tc>
        <w:tc>
          <w:tcPr>
            <w:tcW w:w="456" w:type="dxa"/>
            <w:shd w:val="clear" w:color="auto" w:fill="auto"/>
            <w:vAlign w:val="center"/>
          </w:tcPr>
          <w:p w14:paraId="38FE9B7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30</w:t>
            </w:r>
          </w:p>
        </w:tc>
        <w:tc>
          <w:tcPr>
            <w:tcW w:w="1043" w:type="dxa"/>
            <w:gridSpan w:val="2"/>
            <w:vMerge w:val="continue"/>
            <w:vAlign w:val="center"/>
          </w:tcPr>
          <w:p w14:paraId="1A9EA0F0">
            <w:pPr>
              <w:widowControl/>
              <w:jc w:val="left"/>
              <w:rPr>
                <w:rFonts w:ascii="黑体" w:hAnsi="黑体" w:eastAsia="黑体" w:cs="宋体"/>
                <w:color w:val="000000"/>
                <w:kern w:val="0"/>
                <w:sz w:val="16"/>
                <w:szCs w:val="16"/>
              </w:rPr>
            </w:pPr>
          </w:p>
        </w:tc>
      </w:tr>
      <w:tr w14:paraId="2F64DB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17C72CEA">
            <w:pPr>
              <w:widowControl/>
              <w:jc w:val="left"/>
              <w:rPr>
                <w:rFonts w:ascii="等线" w:hAnsi="等线" w:eastAsia="等线" w:cs="宋体"/>
                <w:color w:val="000000"/>
                <w:kern w:val="0"/>
                <w:sz w:val="16"/>
                <w:szCs w:val="16"/>
              </w:rPr>
            </w:pPr>
          </w:p>
        </w:tc>
        <w:tc>
          <w:tcPr>
            <w:tcW w:w="830" w:type="dxa"/>
            <w:vMerge w:val="continue"/>
            <w:vAlign w:val="center"/>
          </w:tcPr>
          <w:p w14:paraId="4F12D5EA">
            <w:pPr>
              <w:widowControl/>
              <w:jc w:val="left"/>
              <w:rPr>
                <w:rFonts w:ascii="宋体" w:hAnsi="宋体" w:cs="宋体"/>
                <w:color w:val="000000"/>
                <w:kern w:val="0"/>
                <w:sz w:val="16"/>
                <w:szCs w:val="16"/>
              </w:rPr>
            </w:pPr>
          </w:p>
        </w:tc>
        <w:tc>
          <w:tcPr>
            <w:tcW w:w="988" w:type="dxa"/>
            <w:vMerge w:val="continue"/>
            <w:vAlign w:val="center"/>
          </w:tcPr>
          <w:p w14:paraId="20A541BC">
            <w:pPr>
              <w:widowControl/>
              <w:jc w:val="left"/>
              <w:rPr>
                <w:rFonts w:ascii="宋体" w:hAnsi="宋体" w:cs="宋体"/>
                <w:color w:val="000000"/>
                <w:kern w:val="0"/>
                <w:sz w:val="16"/>
                <w:szCs w:val="16"/>
              </w:rPr>
            </w:pPr>
          </w:p>
        </w:tc>
        <w:tc>
          <w:tcPr>
            <w:tcW w:w="1081" w:type="dxa"/>
            <w:vMerge w:val="continue"/>
            <w:vAlign w:val="center"/>
          </w:tcPr>
          <w:p w14:paraId="7ED786F6">
            <w:pPr>
              <w:widowControl/>
              <w:jc w:val="left"/>
              <w:rPr>
                <w:rFonts w:ascii="宋体" w:hAnsi="宋体" w:cs="宋体"/>
                <w:color w:val="000000"/>
                <w:kern w:val="0"/>
                <w:sz w:val="16"/>
                <w:szCs w:val="16"/>
              </w:rPr>
            </w:pPr>
          </w:p>
        </w:tc>
        <w:tc>
          <w:tcPr>
            <w:tcW w:w="1240" w:type="dxa"/>
            <w:vMerge w:val="continue"/>
            <w:vAlign w:val="center"/>
          </w:tcPr>
          <w:p w14:paraId="2D617804">
            <w:pPr>
              <w:widowControl/>
              <w:jc w:val="left"/>
              <w:rPr>
                <w:rFonts w:ascii="宋体" w:hAnsi="宋体" w:cs="宋体"/>
                <w:color w:val="000000"/>
                <w:kern w:val="0"/>
                <w:sz w:val="16"/>
                <w:szCs w:val="16"/>
              </w:rPr>
            </w:pPr>
          </w:p>
        </w:tc>
        <w:tc>
          <w:tcPr>
            <w:tcW w:w="1036" w:type="dxa"/>
            <w:vMerge w:val="continue"/>
            <w:vAlign w:val="center"/>
          </w:tcPr>
          <w:p w14:paraId="0F45F39E">
            <w:pPr>
              <w:widowControl/>
              <w:jc w:val="left"/>
              <w:rPr>
                <w:rFonts w:ascii="宋体" w:hAnsi="宋体" w:cs="宋体"/>
                <w:color w:val="000000"/>
                <w:kern w:val="0"/>
                <w:sz w:val="16"/>
                <w:szCs w:val="16"/>
              </w:rPr>
            </w:pPr>
          </w:p>
        </w:tc>
        <w:tc>
          <w:tcPr>
            <w:tcW w:w="2148" w:type="dxa"/>
            <w:shd w:val="clear" w:color="auto" w:fill="auto"/>
            <w:vAlign w:val="center"/>
          </w:tcPr>
          <w:p w14:paraId="099FB6C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[80%，90%)</w:t>
            </w:r>
          </w:p>
        </w:tc>
        <w:tc>
          <w:tcPr>
            <w:tcW w:w="456" w:type="dxa"/>
            <w:shd w:val="clear" w:color="auto" w:fill="auto"/>
            <w:vAlign w:val="center"/>
          </w:tcPr>
          <w:p w14:paraId="4F34144F">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20</w:t>
            </w:r>
          </w:p>
        </w:tc>
        <w:tc>
          <w:tcPr>
            <w:tcW w:w="1043" w:type="dxa"/>
            <w:gridSpan w:val="2"/>
            <w:vMerge w:val="continue"/>
            <w:vAlign w:val="center"/>
          </w:tcPr>
          <w:p w14:paraId="1BFC0BFE">
            <w:pPr>
              <w:widowControl/>
              <w:jc w:val="left"/>
              <w:rPr>
                <w:rFonts w:ascii="黑体" w:hAnsi="黑体" w:eastAsia="黑体" w:cs="宋体"/>
                <w:color w:val="000000"/>
                <w:kern w:val="0"/>
                <w:sz w:val="16"/>
                <w:szCs w:val="16"/>
              </w:rPr>
            </w:pPr>
          </w:p>
        </w:tc>
      </w:tr>
      <w:tr w14:paraId="0D9D75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4B3EE701">
            <w:pPr>
              <w:widowControl/>
              <w:jc w:val="left"/>
              <w:rPr>
                <w:rFonts w:ascii="等线" w:hAnsi="等线" w:eastAsia="等线" w:cs="宋体"/>
                <w:color w:val="000000"/>
                <w:kern w:val="0"/>
                <w:sz w:val="16"/>
                <w:szCs w:val="16"/>
              </w:rPr>
            </w:pPr>
          </w:p>
        </w:tc>
        <w:tc>
          <w:tcPr>
            <w:tcW w:w="830" w:type="dxa"/>
            <w:vMerge w:val="continue"/>
            <w:vAlign w:val="center"/>
          </w:tcPr>
          <w:p w14:paraId="4730E1C3">
            <w:pPr>
              <w:widowControl/>
              <w:jc w:val="left"/>
              <w:rPr>
                <w:rFonts w:ascii="宋体" w:hAnsi="宋体" w:cs="宋体"/>
                <w:color w:val="000000"/>
                <w:kern w:val="0"/>
                <w:sz w:val="16"/>
                <w:szCs w:val="16"/>
              </w:rPr>
            </w:pPr>
          </w:p>
        </w:tc>
        <w:tc>
          <w:tcPr>
            <w:tcW w:w="988" w:type="dxa"/>
            <w:vMerge w:val="continue"/>
            <w:vAlign w:val="center"/>
          </w:tcPr>
          <w:p w14:paraId="3951CBDC">
            <w:pPr>
              <w:widowControl/>
              <w:jc w:val="left"/>
              <w:rPr>
                <w:rFonts w:ascii="宋体" w:hAnsi="宋体" w:cs="宋体"/>
                <w:color w:val="000000"/>
                <w:kern w:val="0"/>
                <w:sz w:val="16"/>
                <w:szCs w:val="16"/>
              </w:rPr>
            </w:pPr>
          </w:p>
        </w:tc>
        <w:tc>
          <w:tcPr>
            <w:tcW w:w="1081" w:type="dxa"/>
            <w:vMerge w:val="continue"/>
            <w:vAlign w:val="center"/>
          </w:tcPr>
          <w:p w14:paraId="12067E7B">
            <w:pPr>
              <w:widowControl/>
              <w:jc w:val="left"/>
              <w:rPr>
                <w:rFonts w:ascii="宋体" w:hAnsi="宋体" w:cs="宋体"/>
                <w:color w:val="000000"/>
                <w:kern w:val="0"/>
                <w:sz w:val="16"/>
                <w:szCs w:val="16"/>
              </w:rPr>
            </w:pPr>
          </w:p>
        </w:tc>
        <w:tc>
          <w:tcPr>
            <w:tcW w:w="1240" w:type="dxa"/>
            <w:vMerge w:val="continue"/>
            <w:vAlign w:val="center"/>
          </w:tcPr>
          <w:p w14:paraId="1E2EFA12">
            <w:pPr>
              <w:widowControl/>
              <w:jc w:val="left"/>
              <w:rPr>
                <w:rFonts w:ascii="宋体" w:hAnsi="宋体" w:cs="宋体"/>
                <w:color w:val="000000"/>
                <w:kern w:val="0"/>
                <w:sz w:val="16"/>
                <w:szCs w:val="16"/>
              </w:rPr>
            </w:pPr>
          </w:p>
        </w:tc>
        <w:tc>
          <w:tcPr>
            <w:tcW w:w="1036" w:type="dxa"/>
            <w:vMerge w:val="continue"/>
            <w:vAlign w:val="center"/>
          </w:tcPr>
          <w:p w14:paraId="0B3C3FA9">
            <w:pPr>
              <w:widowControl/>
              <w:jc w:val="left"/>
              <w:rPr>
                <w:rFonts w:ascii="宋体" w:hAnsi="宋体" w:cs="宋体"/>
                <w:color w:val="000000"/>
                <w:kern w:val="0"/>
                <w:sz w:val="16"/>
                <w:szCs w:val="16"/>
              </w:rPr>
            </w:pPr>
          </w:p>
        </w:tc>
        <w:tc>
          <w:tcPr>
            <w:tcW w:w="2148" w:type="dxa"/>
            <w:shd w:val="clear" w:color="auto" w:fill="auto"/>
            <w:vAlign w:val="center"/>
          </w:tcPr>
          <w:p w14:paraId="2162F5F0">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[70%，80%)</w:t>
            </w:r>
          </w:p>
        </w:tc>
        <w:tc>
          <w:tcPr>
            <w:tcW w:w="456" w:type="dxa"/>
            <w:shd w:val="clear" w:color="auto" w:fill="auto"/>
            <w:vAlign w:val="center"/>
          </w:tcPr>
          <w:p w14:paraId="6C81ACD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10</w:t>
            </w:r>
          </w:p>
        </w:tc>
        <w:tc>
          <w:tcPr>
            <w:tcW w:w="1043" w:type="dxa"/>
            <w:gridSpan w:val="2"/>
            <w:vMerge w:val="continue"/>
            <w:vAlign w:val="center"/>
          </w:tcPr>
          <w:p w14:paraId="45D1685C">
            <w:pPr>
              <w:widowControl/>
              <w:jc w:val="left"/>
              <w:rPr>
                <w:rFonts w:ascii="黑体" w:hAnsi="黑体" w:eastAsia="黑体" w:cs="宋体"/>
                <w:color w:val="000000"/>
                <w:kern w:val="0"/>
                <w:sz w:val="16"/>
                <w:szCs w:val="16"/>
              </w:rPr>
            </w:pPr>
          </w:p>
        </w:tc>
      </w:tr>
      <w:tr w14:paraId="2EF13C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6CBB28E7">
            <w:pPr>
              <w:widowControl/>
              <w:jc w:val="left"/>
              <w:rPr>
                <w:rFonts w:ascii="等线" w:hAnsi="等线" w:eastAsia="等线" w:cs="宋体"/>
                <w:color w:val="000000"/>
                <w:kern w:val="0"/>
                <w:sz w:val="16"/>
                <w:szCs w:val="16"/>
              </w:rPr>
            </w:pPr>
          </w:p>
        </w:tc>
        <w:tc>
          <w:tcPr>
            <w:tcW w:w="830" w:type="dxa"/>
            <w:vMerge w:val="continue"/>
            <w:vAlign w:val="center"/>
          </w:tcPr>
          <w:p w14:paraId="631D242C">
            <w:pPr>
              <w:widowControl/>
              <w:jc w:val="left"/>
              <w:rPr>
                <w:rFonts w:ascii="宋体" w:hAnsi="宋体" w:cs="宋体"/>
                <w:color w:val="000000"/>
                <w:kern w:val="0"/>
                <w:sz w:val="16"/>
                <w:szCs w:val="16"/>
              </w:rPr>
            </w:pPr>
          </w:p>
        </w:tc>
        <w:tc>
          <w:tcPr>
            <w:tcW w:w="988" w:type="dxa"/>
            <w:vMerge w:val="continue"/>
            <w:vAlign w:val="center"/>
          </w:tcPr>
          <w:p w14:paraId="7001885E">
            <w:pPr>
              <w:widowControl/>
              <w:jc w:val="left"/>
              <w:rPr>
                <w:rFonts w:ascii="宋体" w:hAnsi="宋体" w:cs="宋体"/>
                <w:color w:val="000000"/>
                <w:kern w:val="0"/>
                <w:sz w:val="16"/>
                <w:szCs w:val="16"/>
              </w:rPr>
            </w:pPr>
          </w:p>
        </w:tc>
        <w:tc>
          <w:tcPr>
            <w:tcW w:w="1081" w:type="dxa"/>
            <w:vMerge w:val="continue"/>
            <w:vAlign w:val="center"/>
          </w:tcPr>
          <w:p w14:paraId="05D97CEE">
            <w:pPr>
              <w:widowControl/>
              <w:jc w:val="left"/>
              <w:rPr>
                <w:rFonts w:ascii="宋体" w:hAnsi="宋体" w:cs="宋体"/>
                <w:color w:val="000000"/>
                <w:kern w:val="0"/>
                <w:sz w:val="16"/>
                <w:szCs w:val="16"/>
              </w:rPr>
            </w:pPr>
          </w:p>
        </w:tc>
        <w:tc>
          <w:tcPr>
            <w:tcW w:w="1240" w:type="dxa"/>
            <w:vMerge w:val="continue"/>
            <w:vAlign w:val="center"/>
          </w:tcPr>
          <w:p w14:paraId="039A76D4">
            <w:pPr>
              <w:widowControl/>
              <w:jc w:val="left"/>
              <w:rPr>
                <w:rFonts w:ascii="宋体" w:hAnsi="宋体" w:cs="宋体"/>
                <w:color w:val="000000"/>
                <w:kern w:val="0"/>
                <w:sz w:val="16"/>
                <w:szCs w:val="16"/>
              </w:rPr>
            </w:pPr>
          </w:p>
        </w:tc>
        <w:tc>
          <w:tcPr>
            <w:tcW w:w="1036" w:type="dxa"/>
            <w:vMerge w:val="continue"/>
            <w:vAlign w:val="center"/>
          </w:tcPr>
          <w:p w14:paraId="57CD579D">
            <w:pPr>
              <w:widowControl/>
              <w:jc w:val="left"/>
              <w:rPr>
                <w:rFonts w:ascii="宋体" w:hAnsi="宋体" w:cs="宋体"/>
                <w:color w:val="000000"/>
                <w:kern w:val="0"/>
                <w:sz w:val="16"/>
                <w:szCs w:val="16"/>
              </w:rPr>
            </w:pPr>
          </w:p>
        </w:tc>
        <w:tc>
          <w:tcPr>
            <w:tcW w:w="2148" w:type="dxa"/>
            <w:shd w:val="clear" w:color="auto" w:fill="auto"/>
            <w:vAlign w:val="center"/>
          </w:tcPr>
          <w:p w14:paraId="7BA70F8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＜70%</w:t>
            </w:r>
          </w:p>
        </w:tc>
        <w:tc>
          <w:tcPr>
            <w:tcW w:w="456" w:type="dxa"/>
            <w:shd w:val="clear" w:color="auto" w:fill="auto"/>
            <w:vAlign w:val="center"/>
          </w:tcPr>
          <w:p w14:paraId="530AB02A">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5C150F1A">
            <w:pPr>
              <w:widowControl/>
              <w:jc w:val="left"/>
              <w:rPr>
                <w:rFonts w:ascii="黑体" w:hAnsi="黑体" w:eastAsia="黑体" w:cs="宋体"/>
                <w:color w:val="000000"/>
                <w:kern w:val="0"/>
                <w:sz w:val="16"/>
                <w:szCs w:val="16"/>
              </w:rPr>
            </w:pPr>
          </w:p>
        </w:tc>
      </w:tr>
      <w:tr w14:paraId="2D5D39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779B7B3F">
            <w:pPr>
              <w:widowControl/>
              <w:jc w:val="left"/>
              <w:rPr>
                <w:rFonts w:ascii="等线" w:hAnsi="等线" w:eastAsia="等线" w:cs="宋体"/>
                <w:color w:val="000000"/>
                <w:kern w:val="0"/>
                <w:sz w:val="16"/>
                <w:szCs w:val="16"/>
              </w:rPr>
            </w:pPr>
          </w:p>
        </w:tc>
        <w:tc>
          <w:tcPr>
            <w:tcW w:w="830" w:type="dxa"/>
            <w:vMerge w:val="continue"/>
            <w:vAlign w:val="center"/>
          </w:tcPr>
          <w:p w14:paraId="22D41CDF">
            <w:pPr>
              <w:widowControl/>
              <w:jc w:val="left"/>
              <w:rPr>
                <w:rFonts w:ascii="宋体" w:hAnsi="宋体" w:cs="宋体"/>
                <w:color w:val="000000"/>
                <w:kern w:val="0"/>
                <w:sz w:val="16"/>
                <w:szCs w:val="16"/>
              </w:rPr>
            </w:pPr>
          </w:p>
        </w:tc>
        <w:tc>
          <w:tcPr>
            <w:tcW w:w="988" w:type="dxa"/>
            <w:vMerge w:val="continue"/>
            <w:vAlign w:val="center"/>
          </w:tcPr>
          <w:p w14:paraId="3E644997">
            <w:pPr>
              <w:widowControl/>
              <w:jc w:val="left"/>
              <w:rPr>
                <w:rFonts w:ascii="宋体" w:hAnsi="宋体" w:cs="宋体"/>
                <w:color w:val="000000"/>
                <w:kern w:val="0"/>
                <w:sz w:val="16"/>
                <w:szCs w:val="16"/>
              </w:rPr>
            </w:pPr>
          </w:p>
        </w:tc>
        <w:tc>
          <w:tcPr>
            <w:tcW w:w="1081" w:type="dxa"/>
            <w:vMerge w:val="restart"/>
            <w:shd w:val="clear" w:color="auto" w:fill="auto"/>
            <w:vAlign w:val="center"/>
          </w:tcPr>
          <w:p w14:paraId="2867F0A3">
            <w:pPr>
              <w:widowControl/>
              <w:jc w:val="left"/>
              <w:rPr>
                <w:rFonts w:ascii="宋体" w:hAnsi="宋体" w:cs="宋体"/>
                <w:color w:val="000000"/>
                <w:kern w:val="0"/>
                <w:sz w:val="16"/>
                <w:szCs w:val="16"/>
              </w:rPr>
            </w:pPr>
            <w:r>
              <w:rPr>
                <w:rFonts w:hint="eastAsia" w:ascii="宋体" w:hAnsi="宋体" w:cs="宋体"/>
                <w:color w:val="000000"/>
                <w:kern w:val="0"/>
                <w:sz w:val="16"/>
                <w:szCs w:val="16"/>
              </w:rPr>
              <w:t>项目缺陷</w:t>
            </w:r>
          </w:p>
        </w:tc>
        <w:tc>
          <w:tcPr>
            <w:tcW w:w="1240" w:type="dxa"/>
            <w:vMerge w:val="restart"/>
            <w:shd w:val="clear" w:color="auto" w:fill="auto"/>
            <w:vAlign w:val="center"/>
          </w:tcPr>
          <w:p w14:paraId="36875B55">
            <w:pPr>
              <w:widowControl/>
              <w:jc w:val="left"/>
              <w:rPr>
                <w:rFonts w:ascii="宋体" w:hAnsi="宋体" w:cs="宋体"/>
                <w:color w:val="000000"/>
                <w:kern w:val="0"/>
                <w:sz w:val="16"/>
                <w:szCs w:val="16"/>
              </w:rPr>
            </w:pPr>
            <w:r>
              <w:rPr>
                <w:rFonts w:hint="eastAsia" w:ascii="宋体" w:hAnsi="宋体" w:cs="宋体"/>
                <w:color w:val="000000"/>
                <w:kern w:val="0"/>
                <w:sz w:val="16"/>
                <w:szCs w:val="16"/>
              </w:rPr>
              <w:t>缺陷等级</w:t>
            </w:r>
          </w:p>
        </w:tc>
        <w:tc>
          <w:tcPr>
            <w:tcW w:w="1036" w:type="dxa"/>
            <w:vMerge w:val="restart"/>
            <w:shd w:val="clear" w:color="auto" w:fill="auto"/>
            <w:vAlign w:val="center"/>
          </w:tcPr>
          <w:p w14:paraId="01C7959D">
            <w:pPr>
              <w:widowControl/>
              <w:jc w:val="left"/>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60C35152">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0缺陷</w:t>
            </w:r>
          </w:p>
        </w:tc>
        <w:tc>
          <w:tcPr>
            <w:tcW w:w="456" w:type="dxa"/>
            <w:shd w:val="clear" w:color="000000" w:fill="D9D9D9"/>
            <w:vAlign w:val="center"/>
          </w:tcPr>
          <w:p w14:paraId="401393DA">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4</w:t>
            </w:r>
            <w:r>
              <w:rPr>
                <w:rFonts w:hint="eastAsia" w:ascii="黑体" w:hAnsi="黑体" w:eastAsia="黑体" w:cs="宋体"/>
                <w:color w:val="000000"/>
                <w:kern w:val="0"/>
                <w:sz w:val="16"/>
                <w:szCs w:val="16"/>
              </w:rPr>
              <w:t>0</w:t>
            </w:r>
          </w:p>
        </w:tc>
        <w:tc>
          <w:tcPr>
            <w:tcW w:w="1043" w:type="dxa"/>
            <w:gridSpan w:val="2"/>
            <w:vMerge w:val="continue"/>
            <w:vAlign w:val="center"/>
          </w:tcPr>
          <w:p w14:paraId="4A1BF39A">
            <w:pPr>
              <w:widowControl/>
              <w:jc w:val="left"/>
              <w:rPr>
                <w:rFonts w:ascii="黑体" w:hAnsi="黑体" w:eastAsia="黑体" w:cs="宋体"/>
                <w:color w:val="000000"/>
                <w:kern w:val="0"/>
                <w:sz w:val="16"/>
                <w:szCs w:val="16"/>
              </w:rPr>
            </w:pPr>
          </w:p>
        </w:tc>
      </w:tr>
      <w:tr w14:paraId="2C040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6C824BE5">
            <w:pPr>
              <w:widowControl/>
              <w:jc w:val="left"/>
              <w:rPr>
                <w:rFonts w:ascii="等线" w:hAnsi="等线" w:eastAsia="等线" w:cs="宋体"/>
                <w:color w:val="000000"/>
                <w:kern w:val="0"/>
                <w:sz w:val="16"/>
                <w:szCs w:val="16"/>
              </w:rPr>
            </w:pPr>
          </w:p>
        </w:tc>
        <w:tc>
          <w:tcPr>
            <w:tcW w:w="830" w:type="dxa"/>
            <w:vMerge w:val="continue"/>
            <w:vAlign w:val="center"/>
          </w:tcPr>
          <w:p w14:paraId="5DA68441">
            <w:pPr>
              <w:widowControl/>
              <w:jc w:val="left"/>
              <w:rPr>
                <w:rFonts w:ascii="宋体" w:hAnsi="宋体" w:cs="宋体"/>
                <w:color w:val="000000"/>
                <w:kern w:val="0"/>
                <w:sz w:val="16"/>
                <w:szCs w:val="16"/>
              </w:rPr>
            </w:pPr>
          </w:p>
        </w:tc>
        <w:tc>
          <w:tcPr>
            <w:tcW w:w="988" w:type="dxa"/>
            <w:vMerge w:val="continue"/>
            <w:vAlign w:val="center"/>
          </w:tcPr>
          <w:p w14:paraId="582C9963">
            <w:pPr>
              <w:widowControl/>
              <w:jc w:val="left"/>
              <w:rPr>
                <w:rFonts w:ascii="宋体" w:hAnsi="宋体" w:cs="宋体"/>
                <w:color w:val="000000"/>
                <w:kern w:val="0"/>
                <w:sz w:val="16"/>
                <w:szCs w:val="16"/>
              </w:rPr>
            </w:pPr>
          </w:p>
        </w:tc>
        <w:tc>
          <w:tcPr>
            <w:tcW w:w="1081" w:type="dxa"/>
            <w:vMerge w:val="continue"/>
            <w:vAlign w:val="center"/>
          </w:tcPr>
          <w:p w14:paraId="42055AC2">
            <w:pPr>
              <w:widowControl/>
              <w:jc w:val="left"/>
              <w:rPr>
                <w:rFonts w:ascii="宋体" w:hAnsi="宋体" w:cs="宋体"/>
                <w:color w:val="000000"/>
                <w:kern w:val="0"/>
                <w:sz w:val="16"/>
                <w:szCs w:val="16"/>
              </w:rPr>
            </w:pPr>
          </w:p>
        </w:tc>
        <w:tc>
          <w:tcPr>
            <w:tcW w:w="1240" w:type="dxa"/>
            <w:vMerge w:val="continue"/>
            <w:vAlign w:val="center"/>
          </w:tcPr>
          <w:p w14:paraId="62779E9D">
            <w:pPr>
              <w:widowControl/>
              <w:jc w:val="left"/>
              <w:rPr>
                <w:rFonts w:ascii="宋体" w:hAnsi="宋体" w:cs="宋体"/>
                <w:color w:val="000000"/>
                <w:kern w:val="0"/>
                <w:sz w:val="16"/>
                <w:szCs w:val="16"/>
              </w:rPr>
            </w:pPr>
          </w:p>
        </w:tc>
        <w:tc>
          <w:tcPr>
            <w:tcW w:w="1036" w:type="dxa"/>
            <w:vMerge w:val="continue"/>
            <w:vAlign w:val="center"/>
          </w:tcPr>
          <w:p w14:paraId="220CDA95">
            <w:pPr>
              <w:widowControl/>
              <w:jc w:val="left"/>
              <w:rPr>
                <w:rFonts w:ascii="宋体" w:hAnsi="宋体" w:cs="宋体"/>
                <w:color w:val="000000"/>
                <w:kern w:val="0"/>
                <w:sz w:val="16"/>
                <w:szCs w:val="16"/>
              </w:rPr>
            </w:pPr>
          </w:p>
        </w:tc>
        <w:tc>
          <w:tcPr>
            <w:tcW w:w="2148" w:type="dxa"/>
            <w:shd w:val="clear" w:color="auto" w:fill="auto"/>
            <w:vAlign w:val="center"/>
          </w:tcPr>
          <w:p w14:paraId="622A4F08">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C</w:t>
            </w:r>
          </w:p>
        </w:tc>
        <w:tc>
          <w:tcPr>
            <w:tcW w:w="456" w:type="dxa"/>
            <w:shd w:val="clear" w:color="auto" w:fill="auto"/>
            <w:vAlign w:val="center"/>
          </w:tcPr>
          <w:p w14:paraId="0C26DBFF">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20</w:t>
            </w:r>
          </w:p>
        </w:tc>
        <w:tc>
          <w:tcPr>
            <w:tcW w:w="1043" w:type="dxa"/>
            <w:gridSpan w:val="2"/>
            <w:vMerge w:val="continue"/>
            <w:vAlign w:val="center"/>
          </w:tcPr>
          <w:p w14:paraId="49D2834D">
            <w:pPr>
              <w:widowControl/>
              <w:jc w:val="left"/>
              <w:rPr>
                <w:rFonts w:ascii="黑体" w:hAnsi="黑体" w:eastAsia="黑体" w:cs="宋体"/>
                <w:color w:val="000000"/>
                <w:kern w:val="0"/>
                <w:sz w:val="16"/>
                <w:szCs w:val="16"/>
              </w:rPr>
            </w:pPr>
          </w:p>
        </w:tc>
      </w:tr>
      <w:tr w14:paraId="42D1C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328B4EC6">
            <w:pPr>
              <w:widowControl/>
              <w:jc w:val="left"/>
              <w:rPr>
                <w:rFonts w:ascii="等线" w:hAnsi="等线" w:eastAsia="等线" w:cs="宋体"/>
                <w:color w:val="000000"/>
                <w:kern w:val="0"/>
                <w:sz w:val="16"/>
                <w:szCs w:val="16"/>
              </w:rPr>
            </w:pPr>
          </w:p>
        </w:tc>
        <w:tc>
          <w:tcPr>
            <w:tcW w:w="830" w:type="dxa"/>
            <w:vMerge w:val="continue"/>
            <w:vAlign w:val="center"/>
          </w:tcPr>
          <w:p w14:paraId="2559DCBF">
            <w:pPr>
              <w:widowControl/>
              <w:jc w:val="left"/>
              <w:rPr>
                <w:rFonts w:ascii="宋体" w:hAnsi="宋体" w:cs="宋体"/>
                <w:color w:val="000000"/>
                <w:kern w:val="0"/>
                <w:sz w:val="16"/>
                <w:szCs w:val="16"/>
              </w:rPr>
            </w:pPr>
          </w:p>
        </w:tc>
        <w:tc>
          <w:tcPr>
            <w:tcW w:w="988" w:type="dxa"/>
            <w:vMerge w:val="continue"/>
            <w:vAlign w:val="center"/>
          </w:tcPr>
          <w:p w14:paraId="03764490">
            <w:pPr>
              <w:widowControl/>
              <w:jc w:val="left"/>
              <w:rPr>
                <w:rFonts w:ascii="宋体" w:hAnsi="宋体" w:cs="宋体"/>
                <w:color w:val="000000"/>
                <w:kern w:val="0"/>
                <w:sz w:val="16"/>
                <w:szCs w:val="16"/>
              </w:rPr>
            </w:pPr>
          </w:p>
        </w:tc>
        <w:tc>
          <w:tcPr>
            <w:tcW w:w="1081" w:type="dxa"/>
            <w:vMerge w:val="continue"/>
            <w:vAlign w:val="center"/>
          </w:tcPr>
          <w:p w14:paraId="6B30EC20">
            <w:pPr>
              <w:widowControl/>
              <w:jc w:val="left"/>
              <w:rPr>
                <w:rFonts w:ascii="宋体" w:hAnsi="宋体" w:cs="宋体"/>
                <w:color w:val="000000"/>
                <w:kern w:val="0"/>
                <w:sz w:val="16"/>
                <w:szCs w:val="16"/>
              </w:rPr>
            </w:pPr>
          </w:p>
        </w:tc>
        <w:tc>
          <w:tcPr>
            <w:tcW w:w="1240" w:type="dxa"/>
            <w:vMerge w:val="continue"/>
            <w:vAlign w:val="center"/>
          </w:tcPr>
          <w:p w14:paraId="4EDF8115">
            <w:pPr>
              <w:widowControl/>
              <w:jc w:val="left"/>
              <w:rPr>
                <w:rFonts w:ascii="宋体" w:hAnsi="宋体" w:cs="宋体"/>
                <w:color w:val="000000"/>
                <w:kern w:val="0"/>
                <w:sz w:val="16"/>
                <w:szCs w:val="16"/>
              </w:rPr>
            </w:pPr>
          </w:p>
        </w:tc>
        <w:tc>
          <w:tcPr>
            <w:tcW w:w="1036" w:type="dxa"/>
            <w:vMerge w:val="continue"/>
            <w:vAlign w:val="center"/>
          </w:tcPr>
          <w:p w14:paraId="6F67ED66">
            <w:pPr>
              <w:widowControl/>
              <w:jc w:val="left"/>
              <w:rPr>
                <w:rFonts w:ascii="宋体" w:hAnsi="宋体" w:cs="宋体"/>
                <w:color w:val="000000"/>
                <w:kern w:val="0"/>
                <w:sz w:val="16"/>
                <w:szCs w:val="16"/>
              </w:rPr>
            </w:pPr>
          </w:p>
        </w:tc>
        <w:tc>
          <w:tcPr>
            <w:tcW w:w="2148" w:type="dxa"/>
            <w:shd w:val="clear" w:color="auto" w:fill="auto"/>
            <w:vAlign w:val="center"/>
          </w:tcPr>
          <w:p w14:paraId="010B5C0B">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有1项B</w:t>
            </w:r>
          </w:p>
        </w:tc>
        <w:tc>
          <w:tcPr>
            <w:tcW w:w="456" w:type="dxa"/>
            <w:shd w:val="clear" w:color="auto" w:fill="auto"/>
            <w:vAlign w:val="center"/>
          </w:tcPr>
          <w:p w14:paraId="2BD6BA62">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10</w:t>
            </w:r>
          </w:p>
        </w:tc>
        <w:tc>
          <w:tcPr>
            <w:tcW w:w="1043" w:type="dxa"/>
            <w:gridSpan w:val="2"/>
            <w:vMerge w:val="continue"/>
            <w:vAlign w:val="center"/>
          </w:tcPr>
          <w:p w14:paraId="67B917C5">
            <w:pPr>
              <w:widowControl/>
              <w:jc w:val="left"/>
              <w:rPr>
                <w:rFonts w:ascii="黑体" w:hAnsi="黑体" w:eastAsia="黑体" w:cs="宋体"/>
                <w:color w:val="000000"/>
                <w:kern w:val="0"/>
                <w:sz w:val="16"/>
                <w:szCs w:val="16"/>
              </w:rPr>
            </w:pPr>
          </w:p>
        </w:tc>
      </w:tr>
      <w:tr w14:paraId="4FEF11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03FB7D25">
            <w:pPr>
              <w:widowControl/>
              <w:jc w:val="left"/>
              <w:rPr>
                <w:rFonts w:ascii="等线" w:hAnsi="等线" w:eastAsia="等线" w:cs="宋体"/>
                <w:color w:val="000000"/>
                <w:kern w:val="0"/>
                <w:sz w:val="16"/>
                <w:szCs w:val="16"/>
              </w:rPr>
            </w:pPr>
          </w:p>
        </w:tc>
        <w:tc>
          <w:tcPr>
            <w:tcW w:w="830" w:type="dxa"/>
            <w:vMerge w:val="continue"/>
            <w:vAlign w:val="center"/>
          </w:tcPr>
          <w:p w14:paraId="61FCA106">
            <w:pPr>
              <w:widowControl/>
              <w:jc w:val="left"/>
              <w:rPr>
                <w:rFonts w:ascii="宋体" w:hAnsi="宋体" w:cs="宋体"/>
                <w:color w:val="000000"/>
                <w:kern w:val="0"/>
                <w:sz w:val="16"/>
                <w:szCs w:val="16"/>
              </w:rPr>
            </w:pPr>
          </w:p>
        </w:tc>
        <w:tc>
          <w:tcPr>
            <w:tcW w:w="988" w:type="dxa"/>
            <w:vMerge w:val="continue"/>
            <w:vAlign w:val="center"/>
          </w:tcPr>
          <w:p w14:paraId="33BA3FF1">
            <w:pPr>
              <w:widowControl/>
              <w:jc w:val="left"/>
              <w:rPr>
                <w:rFonts w:ascii="宋体" w:hAnsi="宋体" w:cs="宋体"/>
                <w:color w:val="000000"/>
                <w:kern w:val="0"/>
                <w:sz w:val="16"/>
                <w:szCs w:val="16"/>
              </w:rPr>
            </w:pPr>
          </w:p>
        </w:tc>
        <w:tc>
          <w:tcPr>
            <w:tcW w:w="1081" w:type="dxa"/>
            <w:vMerge w:val="continue"/>
            <w:vAlign w:val="center"/>
          </w:tcPr>
          <w:p w14:paraId="0B33D573">
            <w:pPr>
              <w:widowControl/>
              <w:jc w:val="left"/>
              <w:rPr>
                <w:rFonts w:ascii="宋体" w:hAnsi="宋体" w:cs="宋体"/>
                <w:color w:val="000000"/>
                <w:kern w:val="0"/>
                <w:sz w:val="16"/>
                <w:szCs w:val="16"/>
              </w:rPr>
            </w:pPr>
          </w:p>
        </w:tc>
        <w:tc>
          <w:tcPr>
            <w:tcW w:w="1240" w:type="dxa"/>
            <w:vMerge w:val="continue"/>
            <w:vAlign w:val="center"/>
          </w:tcPr>
          <w:p w14:paraId="5E904889">
            <w:pPr>
              <w:widowControl/>
              <w:jc w:val="left"/>
              <w:rPr>
                <w:rFonts w:ascii="宋体" w:hAnsi="宋体" w:cs="宋体"/>
                <w:color w:val="000000"/>
                <w:kern w:val="0"/>
                <w:sz w:val="16"/>
                <w:szCs w:val="16"/>
              </w:rPr>
            </w:pPr>
          </w:p>
        </w:tc>
        <w:tc>
          <w:tcPr>
            <w:tcW w:w="1036" w:type="dxa"/>
            <w:vMerge w:val="continue"/>
            <w:vAlign w:val="center"/>
          </w:tcPr>
          <w:p w14:paraId="603B8C9B">
            <w:pPr>
              <w:widowControl/>
              <w:jc w:val="left"/>
              <w:rPr>
                <w:rFonts w:ascii="宋体" w:hAnsi="宋体" w:cs="宋体"/>
                <w:color w:val="000000"/>
                <w:kern w:val="0"/>
                <w:sz w:val="16"/>
                <w:szCs w:val="16"/>
              </w:rPr>
            </w:pPr>
          </w:p>
        </w:tc>
        <w:tc>
          <w:tcPr>
            <w:tcW w:w="2148" w:type="dxa"/>
            <w:shd w:val="clear" w:color="auto" w:fill="auto"/>
            <w:vAlign w:val="center"/>
          </w:tcPr>
          <w:p w14:paraId="678DF22B">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有1项A</w:t>
            </w:r>
          </w:p>
        </w:tc>
        <w:tc>
          <w:tcPr>
            <w:tcW w:w="456" w:type="dxa"/>
            <w:shd w:val="clear" w:color="auto" w:fill="auto"/>
            <w:vAlign w:val="center"/>
          </w:tcPr>
          <w:p w14:paraId="4B904FF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7A5953C1">
            <w:pPr>
              <w:widowControl/>
              <w:jc w:val="left"/>
              <w:rPr>
                <w:rFonts w:ascii="黑体" w:hAnsi="黑体" w:eastAsia="黑体" w:cs="宋体"/>
                <w:color w:val="000000"/>
                <w:kern w:val="0"/>
                <w:sz w:val="16"/>
                <w:szCs w:val="16"/>
              </w:rPr>
            </w:pPr>
          </w:p>
        </w:tc>
      </w:tr>
      <w:tr w14:paraId="14B0FF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restart"/>
            <w:shd w:val="clear" w:color="auto" w:fill="auto"/>
            <w:vAlign w:val="center"/>
          </w:tcPr>
          <w:p w14:paraId="218B5EC3">
            <w:pPr>
              <w:widowControl/>
              <w:jc w:val="left"/>
              <w:rPr>
                <w:rFonts w:ascii="等线" w:hAnsi="等线" w:eastAsia="等线" w:cs="宋体"/>
                <w:color w:val="000000"/>
                <w:kern w:val="0"/>
                <w:sz w:val="16"/>
                <w:szCs w:val="16"/>
              </w:rPr>
            </w:pPr>
            <w:r>
              <w:rPr>
                <w:rFonts w:ascii="等线" w:hAnsi="等线" w:eastAsia="等线" w:cs="宋体"/>
                <w:color w:val="000000"/>
                <w:kern w:val="0"/>
                <w:sz w:val="16"/>
                <w:szCs w:val="16"/>
              </w:rPr>
              <w:t>3</w:t>
            </w:r>
          </w:p>
        </w:tc>
        <w:tc>
          <w:tcPr>
            <w:tcW w:w="830" w:type="dxa"/>
            <w:vMerge w:val="restart"/>
            <w:shd w:val="clear" w:color="auto" w:fill="auto"/>
            <w:vAlign w:val="center"/>
          </w:tcPr>
          <w:p w14:paraId="7ABF1E87">
            <w:pPr>
              <w:widowControl/>
              <w:jc w:val="center"/>
              <w:rPr>
                <w:rFonts w:ascii="宋体" w:hAnsi="宋体" w:cs="宋体"/>
                <w:color w:val="000000"/>
                <w:kern w:val="0"/>
                <w:sz w:val="16"/>
                <w:szCs w:val="16"/>
              </w:rPr>
            </w:pPr>
            <w:r>
              <w:rPr>
                <w:rFonts w:hint="eastAsia" w:ascii="宋体" w:hAnsi="宋体" w:cs="宋体"/>
                <w:color w:val="000000"/>
                <w:kern w:val="0"/>
                <w:sz w:val="16"/>
                <w:szCs w:val="16"/>
              </w:rPr>
              <w:t>设备</w:t>
            </w:r>
          </w:p>
          <w:p w14:paraId="11030A05">
            <w:pPr>
              <w:widowControl/>
              <w:jc w:val="center"/>
              <w:rPr>
                <w:rFonts w:ascii="宋体" w:hAnsi="宋体" w:cs="宋体"/>
                <w:color w:val="000000"/>
                <w:kern w:val="0"/>
                <w:sz w:val="16"/>
                <w:szCs w:val="16"/>
              </w:rPr>
            </w:pPr>
            <w:r>
              <w:rPr>
                <w:rFonts w:hint="eastAsia" w:ascii="宋体" w:hAnsi="宋体" w:cs="宋体"/>
                <w:color w:val="000000"/>
                <w:kern w:val="0"/>
                <w:sz w:val="16"/>
                <w:szCs w:val="16"/>
              </w:rPr>
              <w:t>运行</w:t>
            </w:r>
          </w:p>
        </w:tc>
        <w:tc>
          <w:tcPr>
            <w:tcW w:w="988" w:type="dxa"/>
            <w:vMerge w:val="restart"/>
            <w:shd w:val="clear" w:color="auto" w:fill="auto"/>
            <w:vAlign w:val="center"/>
          </w:tcPr>
          <w:p w14:paraId="3CA427BA">
            <w:pPr>
              <w:widowControl/>
              <w:jc w:val="center"/>
              <w:rPr>
                <w:rFonts w:ascii="宋体" w:hAnsi="宋体" w:cs="宋体"/>
                <w:color w:val="000000"/>
                <w:kern w:val="0"/>
                <w:sz w:val="16"/>
                <w:szCs w:val="16"/>
              </w:rPr>
            </w:pPr>
            <w:r>
              <w:rPr>
                <w:rFonts w:hint="eastAsia" w:ascii="宋体" w:hAnsi="宋体" w:cs="宋体"/>
                <w:color w:val="000000"/>
                <w:kern w:val="0"/>
                <w:sz w:val="16"/>
                <w:szCs w:val="16"/>
              </w:rPr>
              <w:t>设备运行情况</w:t>
            </w:r>
          </w:p>
        </w:tc>
        <w:tc>
          <w:tcPr>
            <w:tcW w:w="1081" w:type="dxa"/>
            <w:vMerge w:val="restart"/>
            <w:shd w:val="clear" w:color="auto" w:fill="auto"/>
            <w:vAlign w:val="center"/>
          </w:tcPr>
          <w:p w14:paraId="0094D01C">
            <w:pPr>
              <w:widowControl/>
              <w:jc w:val="center"/>
              <w:rPr>
                <w:rFonts w:ascii="宋体" w:hAnsi="宋体" w:cs="宋体"/>
                <w:color w:val="000000"/>
                <w:kern w:val="0"/>
                <w:sz w:val="16"/>
                <w:szCs w:val="16"/>
              </w:rPr>
            </w:pPr>
            <w:r>
              <w:rPr>
                <w:rFonts w:hint="eastAsia" w:ascii="宋体" w:hAnsi="宋体" w:cs="宋体"/>
                <w:color w:val="000000"/>
                <w:kern w:val="0"/>
                <w:sz w:val="16"/>
                <w:szCs w:val="16"/>
              </w:rPr>
              <w:t>故障情况</w:t>
            </w:r>
          </w:p>
        </w:tc>
        <w:tc>
          <w:tcPr>
            <w:tcW w:w="1240" w:type="dxa"/>
            <w:vMerge w:val="restart"/>
            <w:shd w:val="clear" w:color="auto" w:fill="auto"/>
            <w:vAlign w:val="center"/>
          </w:tcPr>
          <w:p w14:paraId="680064DD">
            <w:pPr>
              <w:widowControl/>
              <w:jc w:val="center"/>
              <w:rPr>
                <w:rFonts w:ascii="宋体" w:hAnsi="宋体" w:cs="宋体"/>
                <w:color w:val="000000"/>
                <w:kern w:val="0"/>
                <w:sz w:val="16"/>
                <w:szCs w:val="16"/>
              </w:rPr>
            </w:pPr>
            <w:r>
              <w:rPr>
                <w:rFonts w:hint="eastAsia" w:ascii="宋体" w:hAnsi="宋体" w:cs="宋体"/>
                <w:color w:val="000000"/>
                <w:kern w:val="0"/>
                <w:sz w:val="16"/>
                <w:szCs w:val="16"/>
              </w:rPr>
              <w:t>故障率（10年内故障数占同类设备总运行数量的比例）</w:t>
            </w:r>
          </w:p>
        </w:tc>
        <w:tc>
          <w:tcPr>
            <w:tcW w:w="1036" w:type="dxa"/>
            <w:vMerge w:val="restart"/>
            <w:shd w:val="clear" w:color="auto" w:fill="auto"/>
            <w:vAlign w:val="center"/>
          </w:tcPr>
          <w:p w14:paraId="722A4FF2">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5C49DE2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0故障</w:t>
            </w:r>
          </w:p>
        </w:tc>
        <w:tc>
          <w:tcPr>
            <w:tcW w:w="456" w:type="dxa"/>
            <w:shd w:val="clear" w:color="auto" w:fill="D8D8D8" w:themeFill="background1" w:themeFillShade="D9"/>
            <w:vAlign w:val="center"/>
          </w:tcPr>
          <w:p w14:paraId="18DCD6CA">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50</w:t>
            </w:r>
          </w:p>
        </w:tc>
        <w:tc>
          <w:tcPr>
            <w:tcW w:w="1043" w:type="dxa"/>
            <w:gridSpan w:val="2"/>
            <w:vMerge w:val="restart"/>
            <w:vAlign w:val="center"/>
          </w:tcPr>
          <w:p w14:paraId="6B28BB94">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r>
              <w:rPr>
                <w:rFonts w:ascii="黑体" w:hAnsi="黑体" w:eastAsia="黑体" w:cs="宋体"/>
                <w:color w:val="000000"/>
                <w:kern w:val="0"/>
                <w:sz w:val="16"/>
                <w:szCs w:val="16"/>
              </w:rPr>
              <w:t>100</w:t>
            </w:r>
          </w:p>
        </w:tc>
      </w:tr>
      <w:tr w14:paraId="5949C1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65449ACB">
            <w:pPr>
              <w:widowControl/>
              <w:jc w:val="left"/>
              <w:rPr>
                <w:rFonts w:ascii="等线" w:hAnsi="等线" w:eastAsia="等线" w:cs="宋体"/>
                <w:color w:val="000000"/>
                <w:kern w:val="0"/>
                <w:sz w:val="16"/>
                <w:szCs w:val="16"/>
              </w:rPr>
            </w:pPr>
          </w:p>
        </w:tc>
        <w:tc>
          <w:tcPr>
            <w:tcW w:w="830" w:type="dxa"/>
            <w:vMerge w:val="continue"/>
            <w:vAlign w:val="center"/>
          </w:tcPr>
          <w:p w14:paraId="13F34A8C">
            <w:pPr>
              <w:widowControl/>
              <w:jc w:val="center"/>
              <w:rPr>
                <w:rFonts w:ascii="宋体" w:hAnsi="宋体" w:cs="宋体"/>
                <w:color w:val="000000"/>
                <w:kern w:val="0"/>
                <w:sz w:val="16"/>
                <w:szCs w:val="16"/>
              </w:rPr>
            </w:pPr>
          </w:p>
        </w:tc>
        <w:tc>
          <w:tcPr>
            <w:tcW w:w="988" w:type="dxa"/>
            <w:vMerge w:val="continue"/>
            <w:vAlign w:val="center"/>
          </w:tcPr>
          <w:p w14:paraId="777F8671">
            <w:pPr>
              <w:widowControl/>
              <w:jc w:val="center"/>
              <w:rPr>
                <w:rFonts w:ascii="宋体" w:hAnsi="宋体" w:cs="宋体"/>
                <w:color w:val="000000"/>
                <w:kern w:val="0"/>
                <w:sz w:val="16"/>
                <w:szCs w:val="16"/>
              </w:rPr>
            </w:pPr>
          </w:p>
        </w:tc>
        <w:tc>
          <w:tcPr>
            <w:tcW w:w="1081" w:type="dxa"/>
            <w:vMerge w:val="continue"/>
            <w:vAlign w:val="center"/>
          </w:tcPr>
          <w:p w14:paraId="725595FB">
            <w:pPr>
              <w:widowControl/>
              <w:jc w:val="center"/>
              <w:rPr>
                <w:rFonts w:ascii="宋体" w:hAnsi="宋体" w:cs="宋体"/>
                <w:color w:val="000000"/>
                <w:kern w:val="0"/>
                <w:sz w:val="16"/>
                <w:szCs w:val="16"/>
              </w:rPr>
            </w:pPr>
          </w:p>
        </w:tc>
        <w:tc>
          <w:tcPr>
            <w:tcW w:w="1240" w:type="dxa"/>
            <w:vMerge w:val="continue"/>
            <w:vAlign w:val="center"/>
          </w:tcPr>
          <w:p w14:paraId="5867C4FA">
            <w:pPr>
              <w:widowControl/>
              <w:jc w:val="center"/>
              <w:rPr>
                <w:rFonts w:ascii="宋体" w:hAnsi="宋体" w:cs="宋体"/>
                <w:color w:val="000000"/>
                <w:kern w:val="0"/>
                <w:sz w:val="16"/>
                <w:szCs w:val="16"/>
              </w:rPr>
            </w:pPr>
          </w:p>
        </w:tc>
        <w:tc>
          <w:tcPr>
            <w:tcW w:w="1036" w:type="dxa"/>
            <w:vMerge w:val="continue"/>
            <w:vAlign w:val="center"/>
          </w:tcPr>
          <w:p w14:paraId="1FFCA255">
            <w:pPr>
              <w:widowControl/>
              <w:jc w:val="center"/>
              <w:rPr>
                <w:rFonts w:ascii="宋体" w:hAnsi="宋体" w:cs="宋体"/>
                <w:color w:val="000000"/>
                <w:kern w:val="0"/>
                <w:sz w:val="16"/>
                <w:szCs w:val="16"/>
              </w:rPr>
            </w:pPr>
          </w:p>
        </w:tc>
        <w:tc>
          <w:tcPr>
            <w:tcW w:w="2148" w:type="dxa"/>
            <w:shd w:val="clear" w:color="auto" w:fill="auto"/>
            <w:vAlign w:val="center"/>
          </w:tcPr>
          <w:p w14:paraId="39EC65DB">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＜3%</w:t>
            </w:r>
          </w:p>
        </w:tc>
        <w:tc>
          <w:tcPr>
            <w:tcW w:w="456" w:type="dxa"/>
            <w:shd w:val="clear" w:color="auto" w:fill="auto"/>
            <w:vAlign w:val="center"/>
          </w:tcPr>
          <w:p w14:paraId="3D0C474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30</w:t>
            </w:r>
          </w:p>
        </w:tc>
        <w:tc>
          <w:tcPr>
            <w:tcW w:w="1043" w:type="dxa"/>
            <w:gridSpan w:val="2"/>
            <w:vMerge w:val="continue"/>
            <w:vAlign w:val="center"/>
          </w:tcPr>
          <w:p w14:paraId="1B16EB33">
            <w:pPr>
              <w:widowControl/>
              <w:jc w:val="left"/>
              <w:rPr>
                <w:rFonts w:ascii="黑体" w:hAnsi="黑体" w:eastAsia="黑体" w:cs="宋体"/>
                <w:color w:val="000000"/>
                <w:kern w:val="0"/>
                <w:sz w:val="16"/>
                <w:szCs w:val="16"/>
              </w:rPr>
            </w:pPr>
          </w:p>
        </w:tc>
      </w:tr>
      <w:tr w14:paraId="2A801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7D9C6069">
            <w:pPr>
              <w:widowControl/>
              <w:jc w:val="left"/>
              <w:rPr>
                <w:rFonts w:ascii="等线" w:hAnsi="等线" w:eastAsia="等线" w:cs="宋体"/>
                <w:color w:val="000000"/>
                <w:kern w:val="0"/>
                <w:sz w:val="16"/>
                <w:szCs w:val="16"/>
              </w:rPr>
            </w:pPr>
          </w:p>
        </w:tc>
        <w:tc>
          <w:tcPr>
            <w:tcW w:w="830" w:type="dxa"/>
            <w:vMerge w:val="continue"/>
            <w:vAlign w:val="center"/>
          </w:tcPr>
          <w:p w14:paraId="732B89E9">
            <w:pPr>
              <w:widowControl/>
              <w:jc w:val="center"/>
              <w:rPr>
                <w:rFonts w:ascii="宋体" w:hAnsi="宋体" w:cs="宋体"/>
                <w:color w:val="000000"/>
                <w:kern w:val="0"/>
                <w:sz w:val="16"/>
                <w:szCs w:val="16"/>
              </w:rPr>
            </w:pPr>
          </w:p>
        </w:tc>
        <w:tc>
          <w:tcPr>
            <w:tcW w:w="988" w:type="dxa"/>
            <w:vMerge w:val="continue"/>
            <w:vAlign w:val="center"/>
          </w:tcPr>
          <w:p w14:paraId="6856B3E4">
            <w:pPr>
              <w:widowControl/>
              <w:jc w:val="center"/>
              <w:rPr>
                <w:rFonts w:ascii="宋体" w:hAnsi="宋体" w:cs="宋体"/>
                <w:color w:val="000000"/>
                <w:kern w:val="0"/>
                <w:sz w:val="16"/>
                <w:szCs w:val="16"/>
              </w:rPr>
            </w:pPr>
          </w:p>
        </w:tc>
        <w:tc>
          <w:tcPr>
            <w:tcW w:w="1081" w:type="dxa"/>
            <w:vMerge w:val="continue"/>
            <w:vAlign w:val="center"/>
          </w:tcPr>
          <w:p w14:paraId="61402298">
            <w:pPr>
              <w:widowControl/>
              <w:jc w:val="center"/>
              <w:rPr>
                <w:rFonts w:ascii="宋体" w:hAnsi="宋体" w:cs="宋体"/>
                <w:color w:val="000000"/>
                <w:kern w:val="0"/>
                <w:sz w:val="16"/>
                <w:szCs w:val="16"/>
              </w:rPr>
            </w:pPr>
          </w:p>
        </w:tc>
        <w:tc>
          <w:tcPr>
            <w:tcW w:w="1240" w:type="dxa"/>
            <w:vMerge w:val="continue"/>
            <w:vAlign w:val="center"/>
          </w:tcPr>
          <w:p w14:paraId="747C0937">
            <w:pPr>
              <w:widowControl/>
              <w:jc w:val="center"/>
              <w:rPr>
                <w:rFonts w:ascii="宋体" w:hAnsi="宋体" w:cs="宋体"/>
                <w:color w:val="000000"/>
                <w:kern w:val="0"/>
                <w:sz w:val="16"/>
                <w:szCs w:val="16"/>
              </w:rPr>
            </w:pPr>
          </w:p>
        </w:tc>
        <w:tc>
          <w:tcPr>
            <w:tcW w:w="1036" w:type="dxa"/>
            <w:vMerge w:val="continue"/>
            <w:vAlign w:val="center"/>
          </w:tcPr>
          <w:p w14:paraId="557A87AD">
            <w:pPr>
              <w:widowControl/>
              <w:jc w:val="center"/>
              <w:rPr>
                <w:rFonts w:ascii="宋体" w:hAnsi="宋体" w:cs="宋体"/>
                <w:color w:val="000000"/>
                <w:kern w:val="0"/>
                <w:sz w:val="16"/>
                <w:szCs w:val="16"/>
              </w:rPr>
            </w:pPr>
          </w:p>
        </w:tc>
        <w:tc>
          <w:tcPr>
            <w:tcW w:w="2148" w:type="dxa"/>
            <w:shd w:val="clear" w:color="auto" w:fill="auto"/>
            <w:vAlign w:val="center"/>
          </w:tcPr>
          <w:p w14:paraId="58B3EC0F">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[3%，5%)</w:t>
            </w:r>
          </w:p>
        </w:tc>
        <w:tc>
          <w:tcPr>
            <w:tcW w:w="456" w:type="dxa"/>
            <w:shd w:val="clear" w:color="auto" w:fill="auto"/>
            <w:vAlign w:val="center"/>
          </w:tcPr>
          <w:p w14:paraId="0973F117">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20</w:t>
            </w:r>
          </w:p>
        </w:tc>
        <w:tc>
          <w:tcPr>
            <w:tcW w:w="1043" w:type="dxa"/>
            <w:gridSpan w:val="2"/>
            <w:vMerge w:val="continue"/>
            <w:vAlign w:val="center"/>
          </w:tcPr>
          <w:p w14:paraId="3FF4B993">
            <w:pPr>
              <w:widowControl/>
              <w:jc w:val="left"/>
              <w:rPr>
                <w:rFonts w:ascii="黑体" w:hAnsi="黑体" w:eastAsia="黑体" w:cs="宋体"/>
                <w:color w:val="000000"/>
                <w:kern w:val="0"/>
                <w:sz w:val="16"/>
                <w:szCs w:val="16"/>
              </w:rPr>
            </w:pPr>
          </w:p>
        </w:tc>
      </w:tr>
      <w:tr w14:paraId="77F041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0FA87146">
            <w:pPr>
              <w:widowControl/>
              <w:jc w:val="left"/>
              <w:rPr>
                <w:rFonts w:ascii="等线" w:hAnsi="等线" w:eastAsia="等线" w:cs="宋体"/>
                <w:color w:val="000000"/>
                <w:kern w:val="0"/>
                <w:sz w:val="16"/>
                <w:szCs w:val="16"/>
              </w:rPr>
            </w:pPr>
          </w:p>
        </w:tc>
        <w:tc>
          <w:tcPr>
            <w:tcW w:w="830" w:type="dxa"/>
            <w:vMerge w:val="continue"/>
            <w:vAlign w:val="center"/>
          </w:tcPr>
          <w:p w14:paraId="4C0E5402">
            <w:pPr>
              <w:widowControl/>
              <w:jc w:val="center"/>
              <w:rPr>
                <w:rFonts w:ascii="宋体" w:hAnsi="宋体" w:cs="宋体"/>
                <w:color w:val="000000"/>
                <w:kern w:val="0"/>
                <w:sz w:val="16"/>
                <w:szCs w:val="16"/>
              </w:rPr>
            </w:pPr>
          </w:p>
        </w:tc>
        <w:tc>
          <w:tcPr>
            <w:tcW w:w="988" w:type="dxa"/>
            <w:vMerge w:val="continue"/>
            <w:vAlign w:val="center"/>
          </w:tcPr>
          <w:p w14:paraId="5CB9B8CD">
            <w:pPr>
              <w:widowControl/>
              <w:jc w:val="center"/>
              <w:rPr>
                <w:rFonts w:ascii="宋体" w:hAnsi="宋体" w:cs="宋体"/>
                <w:color w:val="000000"/>
                <w:kern w:val="0"/>
                <w:sz w:val="16"/>
                <w:szCs w:val="16"/>
              </w:rPr>
            </w:pPr>
          </w:p>
        </w:tc>
        <w:tc>
          <w:tcPr>
            <w:tcW w:w="1081" w:type="dxa"/>
            <w:vMerge w:val="continue"/>
            <w:vAlign w:val="center"/>
          </w:tcPr>
          <w:p w14:paraId="5BF375C6">
            <w:pPr>
              <w:widowControl/>
              <w:jc w:val="center"/>
              <w:rPr>
                <w:rFonts w:ascii="宋体" w:hAnsi="宋体" w:cs="宋体"/>
                <w:color w:val="000000"/>
                <w:kern w:val="0"/>
                <w:sz w:val="16"/>
                <w:szCs w:val="16"/>
              </w:rPr>
            </w:pPr>
          </w:p>
        </w:tc>
        <w:tc>
          <w:tcPr>
            <w:tcW w:w="1240" w:type="dxa"/>
            <w:vMerge w:val="continue"/>
            <w:vAlign w:val="center"/>
          </w:tcPr>
          <w:p w14:paraId="25FA1CF3">
            <w:pPr>
              <w:widowControl/>
              <w:jc w:val="center"/>
              <w:rPr>
                <w:rFonts w:ascii="宋体" w:hAnsi="宋体" w:cs="宋体"/>
                <w:color w:val="000000"/>
                <w:kern w:val="0"/>
                <w:sz w:val="16"/>
                <w:szCs w:val="16"/>
              </w:rPr>
            </w:pPr>
          </w:p>
        </w:tc>
        <w:tc>
          <w:tcPr>
            <w:tcW w:w="1036" w:type="dxa"/>
            <w:vMerge w:val="continue"/>
            <w:vAlign w:val="center"/>
          </w:tcPr>
          <w:p w14:paraId="07355EF6">
            <w:pPr>
              <w:widowControl/>
              <w:jc w:val="center"/>
              <w:rPr>
                <w:rFonts w:ascii="宋体" w:hAnsi="宋体" w:cs="宋体"/>
                <w:color w:val="000000"/>
                <w:kern w:val="0"/>
                <w:sz w:val="16"/>
                <w:szCs w:val="16"/>
              </w:rPr>
            </w:pPr>
          </w:p>
        </w:tc>
        <w:tc>
          <w:tcPr>
            <w:tcW w:w="2148" w:type="dxa"/>
            <w:shd w:val="clear" w:color="auto" w:fill="auto"/>
            <w:vAlign w:val="center"/>
          </w:tcPr>
          <w:p w14:paraId="2588BE30">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[5%，8%)</w:t>
            </w:r>
          </w:p>
        </w:tc>
        <w:tc>
          <w:tcPr>
            <w:tcW w:w="456" w:type="dxa"/>
            <w:shd w:val="clear" w:color="auto" w:fill="auto"/>
            <w:vAlign w:val="center"/>
          </w:tcPr>
          <w:p w14:paraId="09F50178">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10</w:t>
            </w:r>
          </w:p>
        </w:tc>
        <w:tc>
          <w:tcPr>
            <w:tcW w:w="1043" w:type="dxa"/>
            <w:gridSpan w:val="2"/>
            <w:vMerge w:val="continue"/>
            <w:vAlign w:val="center"/>
          </w:tcPr>
          <w:p w14:paraId="17461DC1">
            <w:pPr>
              <w:widowControl/>
              <w:jc w:val="left"/>
              <w:rPr>
                <w:rFonts w:ascii="黑体" w:hAnsi="黑体" w:eastAsia="黑体" w:cs="宋体"/>
                <w:color w:val="000000"/>
                <w:kern w:val="0"/>
                <w:sz w:val="16"/>
                <w:szCs w:val="16"/>
              </w:rPr>
            </w:pPr>
          </w:p>
        </w:tc>
      </w:tr>
      <w:tr w14:paraId="772DF4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5714EF34">
            <w:pPr>
              <w:widowControl/>
              <w:jc w:val="left"/>
              <w:rPr>
                <w:rFonts w:ascii="等线" w:hAnsi="等线" w:eastAsia="等线" w:cs="宋体"/>
                <w:color w:val="000000"/>
                <w:kern w:val="0"/>
                <w:sz w:val="16"/>
                <w:szCs w:val="16"/>
              </w:rPr>
            </w:pPr>
          </w:p>
        </w:tc>
        <w:tc>
          <w:tcPr>
            <w:tcW w:w="830" w:type="dxa"/>
            <w:vMerge w:val="continue"/>
            <w:vAlign w:val="center"/>
          </w:tcPr>
          <w:p w14:paraId="592977E1">
            <w:pPr>
              <w:widowControl/>
              <w:jc w:val="center"/>
              <w:rPr>
                <w:rFonts w:ascii="宋体" w:hAnsi="宋体" w:cs="宋体"/>
                <w:color w:val="000000"/>
                <w:kern w:val="0"/>
                <w:sz w:val="16"/>
                <w:szCs w:val="16"/>
              </w:rPr>
            </w:pPr>
          </w:p>
        </w:tc>
        <w:tc>
          <w:tcPr>
            <w:tcW w:w="988" w:type="dxa"/>
            <w:vMerge w:val="continue"/>
            <w:vAlign w:val="center"/>
          </w:tcPr>
          <w:p w14:paraId="26E8D259">
            <w:pPr>
              <w:widowControl/>
              <w:jc w:val="center"/>
              <w:rPr>
                <w:rFonts w:ascii="宋体" w:hAnsi="宋体" w:cs="宋体"/>
                <w:color w:val="000000"/>
                <w:kern w:val="0"/>
                <w:sz w:val="16"/>
                <w:szCs w:val="16"/>
              </w:rPr>
            </w:pPr>
          </w:p>
        </w:tc>
        <w:tc>
          <w:tcPr>
            <w:tcW w:w="1081" w:type="dxa"/>
            <w:vMerge w:val="continue"/>
            <w:vAlign w:val="center"/>
          </w:tcPr>
          <w:p w14:paraId="4CDA717B">
            <w:pPr>
              <w:widowControl/>
              <w:jc w:val="center"/>
              <w:rPr>
                <w:rFonts w:ascii="宋体" w:hAnsi="宋体" w:cs="宋体"/>
                <w:color w:val="000000"/>
                <w:kern w:val="0"/>
                <w:sz w:val="16"/>
                <w:szCs w:val="16"/>
              </w:rPr>
            </w:pPr>
          </w:p>
        </w:tc>
        <w:tc>
          <w:tcPr>
            <w:tcW w:w="1240" w:type="dxa"/>
            <w:vMerge w:val="continue"/>
            <w:vAlign w:val="center"/>
          </w:tcPr>
          <w:p w14:paraId="73404AA8">
            <w:pPr>
              <w:widowControl/>
              <w:jc w:val="center"/>
              <w:rPr>
                <w:rFonts w:ascii="宋体" w:hAnsi="宋体" w:cs="宋体"/>
                <w:color w:val="000000"/>
                <w:kern w:val="0"/>
                <w:sz w:val="16"/>
                <w:szCs w:val="16"/>
              </w:rPr>
            </w:pPr>
          </w:p>
        </w:tc>
        <w:tc>
          <w:tcPr>
            <w:tcW w:w="1036" w:type="dxa"/>
            <w:vMerge w:val="continue"/>
            <w:vAlign w:val="center"/>
          </w:tcPr>
          <w:p w14:paraId="047CFA1C">
            <w:pPr>
              <w:widowControl/>
              <w:jc w:val="center"/>
              <w:rPr>
                <w:rFonts w:ascii="宋体" w:hAnsi="宋体" w:cs="宋体"/>
                <w:color w:val="000000"/>
                <w:kern w:val="0"/>
                <w:sz w:val="16"/>
                <w:szCs w:val="16"/>
              </w:rPr>
            </w:pPr>
          </w:p>
        </w:tc>
        <w:tc>
          <w:tcPr>
            <w:tcW w:w="2148" w:type="dxa"/>
            <w:shd w:val="clear" w:color="auto" w:fill="auto"/>
            <w:vAlign w:val="center"/>
          </w:tcPr>
          <w:p w14:paraId="4993A703">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[8%，10%)</w:t>
            </w:r>
          </w:p>
        </w:tc>
        <w:tc>
          <w:tcPr>
            <w:tcW w:w="456" w:type="dxa"/>
            <w:shd w:val="clear" w:color="auto" w:fill="auto"/>
            <w:vAlign w:val="center"/>
          </w:tcPr>
          <w:p w14:paraId="407B09B0">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4B2F787B">
            <w:pPr>
              <w:widowControl/>
              <w:jc w:val="left"/>
              <w:rPr>
                <w:rFonts w:ascii="黑体" w:hAnsi="黑体" w:eastAsia="黑体" w:cs="宋体"/>
                <w:color w:val="000000"/>
                <w:kern w:val="0"/>
                <w:sz w:val="16"/>
                <w:szCs w:val="16"/>
              </w:rPr>
            </w:pPr>
          </w:p>
        </w:tc>
      </w:tr>
      <w:tr w14:paraId="7BDBB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3916434E">
            <w:pPr>
              <w:widowControl/>
              <w:jc w:val="left"/>
              <w:rPr>
                <w:rFonts w:ascii="等线" w:hAnsi="等线" w:eastAsia="等线" w:cs="宋体"/>
                <w:color w:val="000000"/>
                <w:kern w:val="0"/>
                <w:sz w:val="16"/>
                <w:szCs w:val="16"/>
              </w:rPr>
            </w:pPr>
          </w:p>
        </w:tc>
        <w:tc>
          <w:tcPr>
            <w:tcW w:w="830" w:type="dxa"/>
            <w:vMerge w:val="continue"/>
            <w:vAlign w:val="center"/>
          </w:tcPr>
          <w:p w14:paraId="2620DC88">
            <w:pPr>
              <w:widowControl/>
              <w:jc w:val="center"/>
              <w:rPr>
                <w:rFonts w:ascii="宋体" w:hAnsi="宋体" w:cs="宋体"/>
                <w:color w:val="000000"/>
                <w:kern w:val="0"/>
                <w:sz w:val="16"/>
                <w:szCs w:val="16"/>
              </w:rPr>
            </w:pPr>
          </w:p>
        </w:tc>
        <w:tc>
          <w:tcPr>
            <w:tcW w:w="988" w:type="dxa"/>
            <w:vMerge w:val="continue"/>
            <w:vAlign w:val="center"/>
          </w:tcPr>
          <w:p w14:paraId="55B91509">
            <w:pPr>
              <w:widowControl/>
              <w:jc w:val="center"/>
              <w:rPr>
                <w:rFonts w:ascii="宋体" w:hAnsi="宋体" w:cs="宋体"/>
                <w:color w:val="000000"/>
                <w:kern w:val="0"/>
                <w:sz w:val="16"/>
                <w:szCs w:val="16"/>
              </w:rPr>
            </w:pPr>
          </w:p>
        </w:tc>
        <w:tc>
          <w:tcPr>
            <w:tcW w:w="1081" w:type="dxa"/>
            <w:vMerge w:val="continue"/>
            <w:vAlign w:val="center"/>
          </w:tcPr>
          <w:p w14:paraId="3868ECFC">
            <w:pPr>
              <w:widowControl/>
              <w:jc w:val="center"/>
              <w:rPr>
                <w:rFonts w:ascii="宋体" w:hAnsi="宋体" w:cs="宋体"/>
                <w:color w:val="000000"/>
                <w:kern w:val="0"/>
                <w:sz w:val="16"/>
                <w:szCs w:val="16"/>
              </w:rPr>
            </w:pPr>
          </w:p>
        </w:tc>
        <w:tc>
          <w:tcPr>
            <w:tcW w:w="1240" w:type="dxa"/>
            <w:vMerge w:val="continue"/>
            <w:vAlign w:val="center"/>
          </w:tcPr>
          <w:p w14:paraId="2C585CE9">
            <w:pPr>
              <w:widowControl/>
              <w:jc w:val="center"/>
              <w:rPr>
                <w:rFonts w:ascii="宋体" w:hAnsi="宋体" w:cs="宋体"/>
                <w:color w:val="000000"/>
                <w:kern w:val="0"/>
                <w:sz w:val="16"/>
                <w:szCs w:val="16"/>
              </w:rPr>
            </w:pPr>
          </w:p>
        </w:tc>
        <w:tc>
          <w:tcPr>
            <w:tcW w:w="1036" w:type="dxa"/>
            <w:vMerge w:val="continue"/>
            <w:vAlign w:val="center"/>
          </w:tcPr>
          <w:p w14:paraId="54F1168F">
            <w:pPr>
              <w:widowControl/>
              <w:jc w:val="center"/>
              <w:rPr>
                <w:rFonts w:ascii="宋体" w:hAnsi="宋体" w:cs="宋体"/>
                <w:color w:val="000000"/>
                <w:kern w:val="0"/>
                <w:sz w:val="16"/>
                <w:szCs w:val="16"/>
              </w:rPr>
            </w:pPr>
          </w:p>
        </w:tc>
        <w:tc>
          <w:tcPr>
            <w:tcW w:w="2148" w:type="dxa"/>
            <w:shd w:val="clear" w:color="auto" w:fill="auto"/>
            <w:vAlign w:val="center"/>
          </w:tcPr>
          <w:p w14:paraId="3FFB4377">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w:t>
            </w:r>
          </w:p>
        </w:tc>
        <w:tc>
          <w:tcPr>
            <w:tcW w:w="456" w:type="dxa"/>
            <w:shd w:val="clear" w:color="auto" w:fill="auto"/>
            <w:vAlign w:val="center"/>
          </w:tcPr>
          <w:p w14:paraId="25580C11">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3DD3A7DE">
            <w:pPr>
              <w:widowControl/>
              <w:jc w:val="left"/>
              <w:rPr>
                <w:rFonts w:ascii="黑体" w:hAnsi="黑体" w:eastAsia="黑体" w:cs="宋体"/>
                <w:color w:val="000000"/>
                <w:kern w:val="0"/>
                <w:sz w:val="16"/>
                <w:szCs w:val="16"/>
              </w:rPr>
            </w:pPr>
          </w:p>
        </w:tc>
      </w:tr>
      <w:tr w14:paraId="52611E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36527A2D">
            <w:pPr>
              <w:widowControl/>
              <w:jc w:val="left"/>
              <w:rPr>
                <w:rFonts w:ascii="等线" w:hAnsi="等线" w:eastAsia="等线" w:cs="宋体"/>
                <w:color w:val="000000"/>
                <w:kern w:val="0"/>
                <w:sz w:val="16"/>
                <w:szCs w:val="16"/>
              </w:rPr>
            </w:pPr>
          </w:p>
        </w:tc>
        <w:tc>
          <w:tcPr>
            <w:tcW w:w="830" w:type="dxa"/>
            <w:vMerge w:val="continue"/>
            <w:vAlign w:val="center"/>
          </w:tcPr>
          <w:p w14:paraId="1525CEEA">
            <w:pPr>
              <w:widowControl/>
              <w:jc w:val="center"/>
              <w:rPr>
                <w:rFonts w:ascii="宋体" w:hAnsi="宋体" w:cs="宋体"/>
                <w:color w:val="000000"/>
                <w:kern w:val="0"/>
                <w:sz w:val="16"/>
                <w:szCs w:val="16"/>
              </w:rPr>
            </w:pPr>
          </w:p>
        </w:tc>
        <w:tc>
          <w:tcPr>
            <w:tcW w:w="988" w:type="dxa"/>
            <w:vMerge w:val="continue"/>
            <w:vAlign w:val="center"/>
          </w:tcPr>
          <w:p w14:paraId="667FB42F">
            <w:pPr>
              <w:widowControl/>
              <w:jc w:val="center"/>
              <w:rPr>
                <w:rFonts w:ascii="宋体" w:hAnsi="宋体" w:cs="宋体"/>
                <w:color w:val="000000"/>
                <w:kern w:val="0"/>
                <w:sz w:val="16"/>
                <w:szCs w:val="16"/>
              </w:rPr>
            </w:pPr>
          </w:p>
        </w:tc>
        <w:tc>
          <w:tcPr>
            <w:tcW w:w="1081" w:type="dxa"/>
            <w:vMerge w:val="restart"/>
            <w:shd w:val="clear" w:color="auto" w:fill="auto"/>
            <w:vAlign w:val="center"/>
          </w:tcPr>
          <w:p w14:paraId="4C304C5C">
            <w:pPr>
              <w:widowControl/>
              <w:jc w:val="center"/>
              <w:rPr>
                <w:rFonts w:ascii="宋体" w:hAnsi="宋体" w:cs="宋体"/>
                <w:color w:val="000000"/>
                <w:kern w:val="0"/>
                <w:sz w:val="16"/>
                <w:szCs w:val="16"/>
              </w:rPr>
            </w:pPr>
            <w:r>
              <w:rPr>
                <w:rFonts w:hint="eastAsia" w:ascii="宋体" w:hAnsi="宋体" w:cs="宋体"/>
                <w:color w:val="000000"/>
                <w:kern w:val="0"/>
                <w:sz w:val="16"/>
                <w:szCs w:val="16"/>
              </w:rPr>
              <w:t>紧急重大缺陷情况</w:t>
            </w:r>
          </w:p>
        </w:tc>
        <w:tc>
          <w:tcPr>
            <w:tcW w:w="1240" w:type="dxa"/>
            <w:vMerge w:val="restart"/>
            <w:shd w:val="clear" w:color="auto" w:fill="auto"/>
            <w:vAlign w:val="center"/>
          </w:tcPr>
          <w:p w14:paraId="73EE44BA">
            <w:pPr>
              <w:widowControl/>
              <w:jc w:val="center"/>
              <w:rPr>
                <w:rFonts w:ascii="宋体" w:hAnsi="宋体" w:cs="宋体"/>
                <w:color w:val="000000"/>
                <w:kern w:val="0"/>
                <w:sz w:val="16"/>
                <w:szCs w:val="16"/>
              </w:rPr>
            </w:pPr>
            <w:r>
              <w:rPr>
                <w:rFonts w:hint="eastAsia" w:ascii="宋体" w:hAnsi="宋体" w:cs="宋体"/>
                <w:color w:val="000000"/>
                <w:kern w:val="0"/>
                <w:sz w:val="16"/>
                <w:szCs w:val="16"/>
              </w:rPr>
              <w:t>紧急重大缺陷率（10年内紧急重大缺陷数占同类设备总运行数量的比例）</w:t>
            </w:r>
          </w:p>
        </w:tc>
        <w:tc>
          <w:tcPr>
            <w:tcW w:w="1036" w:type="dxa"/>
            <w:vMerge w:val="restart"/>
            <w:shd w:val="clear" w:color="auto" w:fill="auto"/>
            <w:vAlign w:val="center"/>
          </w:tcPr>
          <w:p w14:paraId="16CF9593">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34A9E193">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0紧急重大缺陷</w:t>
            </w:r>
          </w:p>
        </w:tc>
        <w:tc>
          <w:tcPr>
            <w:tcW w:w="456" w:type="dxa"/>
            <w:shd w:val="clear" w:color="000000" w:fill="D9D9D9"/>
            <w:vAlign w:val="center"/>
          </w:tcPr>
          <w:p w14:paraId="743F8E94">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w:t>
            </w:r>
            <w:r>
              <w:rPr>
                <w:rFonts w:ascii="黑体" w:hAnsi="黑体" w:eastAsia="黑体" w:cs="宋体"/>
                <w:color w:val="000000"/>
                <w:kern w:val="0"/>
                <w:sz w:val="16"/>
                <w:szCs w:val="16"/>
              </w:rPr>
              <w:t>5</w:t>
            </w:r>
          </w:p>
        </w:tc>
        <w:tc>
          <w:tcPr>
            <w:tcW w:w="1043" w:type="dxa"/>
            <w:gridSpan w:val="2"/>
            <w:vMerge w:val="continue"/>
            <w:vAlign w:val="center"/>
          </w:tcPr>
          <w:p w14:paraId="454DBD39">
            <w:pPr>
              <w:widowControl/>
              <w:jc w:val="left"/>
              <w:rPr>
                <w:rFonts w:ascii="黑体" w:hAnsi="黑体" w:eastAsia="黑体" w:cs="宋体"/>
                <w:color w:val="000000"/>
                <w:kern w:val="0"/>
                <w:sz w:val="16"/>
                <w:szCs w:val="16"/>
              </w:rPr>
            </w:pPr>
          </w:p>
        </w:tc>
      </w:tr>
      <w:tr w14:paraId="33E746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72DB284D">
            <w:pPr>
              <w:widowControl/>
              <w:jc w:val="left"/>
              <w:rPr>
                <w:rFonts w:ascii="等线" w:hAnsi="等线" w:eastAsia="等线" w:cs="宋体"/>
                <w:color w:val="000000"/>
                <w:kern w:val="0"/>
                <w:sz w:val="16"/>
                <w:szCs w:val="16"/>
              </w:rPr>
            </w:pPr>
          </w:p>
        </w:tc>
        <w:tc>
          <w:tcPr>
            <w:tcW w:w="830" w:type="dxa"/>
            <w:vMerge w:val="continue"/>
            <w:vAlign w:val="center"/>
          </w:tcPr>
          <w:p w14:paraId="5CA60716">
            <w:pPr>
              <w:widowControl/>
              <w:jc w:val="center"/>
              <w:rPr>
                <w:rFonts w:ascii="宋体" w:hAnsi="宋体" w:cs="宋体"/>
                <w:color w:val="000000"/>
                <w:kern w:val="0"/>
                <w:sz w:val="16"/>
                <w:szCs w:val="16"/>
              </w:rPr>
            </w:pPr>
          </w:p>
        </w:tc>
        <w:tc>
          <w:tcPr>
            <w:tcW w:w="988" w:type="dxa"/>
            <w:vMerge w:val="continue"/>
            <w:vAlign w:val="center"/>
          </w:tcPr>
          <w:p w14:paraId="686AAD3C">
            <w:pPr>
              <w:widowControl/>
              <w:jc w:val="center"/>
              <w:rPr>
                <w:rFonts w:ascii="宋体" w:hAnsi="宋体" w:cs="宋体"/>
                <w:color w:val="000000"/>
                <w:kern w:val="0"/>
                <w:sz w:val="16"/>
                <w:szCs w:val="16"/>
              </w:rPr>
            </w:pPr>
          </w:p>
        </w:tc>
        <w:tc>
          <w:tcPr>
            <w:tcW w:w="1081" w:type="dxa"/>
            <w:vMerge w:val="continue"/>
            <w:vAlign w:val="center"/>
          </w:tcPr>
          <w:p w14:paraId="5F84B342">
            <w:pPr>
              <w:widowControl/>
              <w:jc w:val="center"/>
              <w:rPr>
                <w:rFonts w:ascii="宋体" w:hAnsi="宋体" w:cs="宋体"/>
                <w:color w:val="000000"/>
                <w:kern w:val="0"/>
                <w:sz w:val="16"/>
                <w:szCs w:val="16"/>
              </w:rPr>
            </w:pPr>
          </w:p>
        </w:tc>
        <w:tc>
          <w:tcPr>
            <w:tcW w:w="1240" w:type="dxa"/>
            <w:vMerge w:val="continue"/>
            <w:vAlign w:val="center"/>
          </w:tcPr>
          <w:p w14:paraId="00DDCA5D">
            <w:pPr>
              <w:widowControl/>
              <w:jc w:val="center"/>
              <w:rPr>
                <w:rFonts w:ascii="宋体" w:hAnsi="宋体" w:cs="宋体"/>
                <w:color w:val="000000"/>
                <w:kern w:val="0"/>
                <w:sz w:val="16"/>
                <w:szCs w:val="16"/>
              </w:rPr>
            </w:pPr>
          </w:p>
        </w:tc>
        <w:tc>
          <w:tcPr>
            <w:tcW w:w="1036" w:type="dxa"/>
            <w:vMerge w:val="continue"/>
            <w:vAlign w:val="center"/>
          </w:tcPr>
          <w:p w14:paraId="57A90E07">
            <w:pPr>
              <w:widowControl/>
              <w:jc w:val="center"/>
              <w:rPr>
                <w:rFonts w:ascii="宋体" w:hAnsi="宋体" w:cs="宋体"/>
                <w:color w:val="000000"/>
                <w:kern w:val="0"/>
                <w:sz w:val="16"/>
                <w:szCs w:val="16"/>
              </w:rPr>
            </w:pPr>
          </w:p>
        </w:tc>
        <w:tc>
          <w:tcPr>
            <w:tcW w:w="2148" w:type="dxa"/>
            <w:shd w:val="clear" w:color="auto" w:fill="auto"/>
            <w:vAlign w:val="center"/>
          </w:tcPr>
          <w:p w14:paraId="0B8BFDE3">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＜5%</w:t>
            </w:r>
          </w:p>
        </w:tc>
        <w:tc>
          <w:tcPr>
            <w:tcW w:w="456" w:type="dxa"/>
            <w:shd w:val="clear" w:color="auto" w:fill="auto"/>
            <w:vAlign w:val="center"/>
          </w:tcPr>
          <w:p w14:paraId="14979627">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20</w:t>
            </w:r>
          </w:p>
        </w:tc>
        <w:tc>
          <w:tcPr>
            <w:tcW w:w="1043" w:type="dxa"/>
            <w:gridSpan w:val="2"/>
            <w:vMerge w:val="continue"/>
            <w:vAlign w:val="center"/>
          </w:tcPr>
          <w:p w14:paraId="166821D9">
            <w:pPr>
              <w:widowControl/>
              <w:jc w:val="left"/>
              <w:rPr>
                <w:rFonts w:ascii="黑体" w:hAnsi="黑体" w:eastAsia="黑体" w:cs="宋体"/>
                <w:color w:val="000000"/>
                <w:kern w:val="0"/>
                <w:sz w:val="16"/>
                <w:szCs w:val="16"/>
              </w:rPr>
            </w:pPr>
          </w:p>
        </w:tc>
      </w:tr>
      <w:tr w14:paraId="12E980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4A958B1C">
            <w:pPr>
              <w:widowControl/>
              <w:jc w:val="left"/>
              <w:rPr>
                <w:rFonts w:ascii="等线" w:hAnsi="等线" w:eastAsia="等线" w:cs="宋体"/>
                <w:color w:val="000000"/>
                <w:kern w:val="0"/>
                <w:sz w:val="16"/>
                <w:szCs w:val="16"/>
              </w:rPr>
            </w:pPr>
          </w:p>
        </w:tc>
        <w:tc>
          <w:tcPr>
            <w:tcW w:w="830" w:type="dxa"/>
            <w:vMerge w:val="continue"/>
            <w:vAlign w:val="center"/>
          </w:tcPr>
          <w:p w14:paraId="66068550">
            <w:pPr>
              <w:widowControl/>
              <w:jc w:val="center"/>
              <w:rPr>
                <w:rFonts w:ascii="宋体" w:hAnsi="宋体" w:cs="宋体"/>
                <w:color w:val="000000"/>
                <w:kern w:val="0"/>
                <w:sz w:val="16"/>
                <w:szCs w:val="16"/>
              </w:rPr>
            </w:pPr>
          </w:p>
        </w:tc>
        <w:tc>
          <w:tcPr>
            <w:tcW w:w="988" w:type="dxa"/>
            <w:vMerge w:val="continue"/>
            <w:vAlign w:val="center"/>
          </w:tcPr>
          <w:p w14:paraId="23354D98">
            <w:pPr>
              <w:widowControl/>
              <w:jc w:val="center"/>
              <w:rPr>
                <w:rFonts w:ascii="宋体" w:hAnsi="宋体" w:cs="宋体"/>
                <w:color w:val="000000"/>
                <w:kern w:val="0"/>
                <w:sz w:val="16"/>
                <w:szCs w:val="16"/>
              </w:rPr>
            </w:pPr>
          </w:p>
        </w:tc>
        <w:tc>
          <w:tcPr>
            <w:tcW w:w="1081" w:type="dxa"/>
            <w:vMerge w:val="continue"/>
            <w:vAlign w:val="center"/>
          </w:tcPr>
          <w:p w14:paraId="4EEE798A">
            <w:pPr>
              <w:widowControl/>
              <w:jc w:val="center"/>
              <w:rPr>
                <w:rFonts w:ascii="宋体" w:hAnsi="宋体" w:cs="宋体"/>
                <w:color w:val="000000"/>
                <w:kern w:val="0"/>
                <w:sz w:val="16"/>
                <w:szCs w:val="16"/>
              </w:rPr>
            </w:pPr>
          </w:p>
        </w:tc>
        <w:tc>
          <w:tcPr>
            <w:tcW w:w="1240" w:type="dxa"/>
            <w:vMerge w:val="continue"/>
            <w:vAlign w:val="center"/>
          </w:tcPr>
          <w:p w14:paraId="2DB97B40">
            <w:pPr>
              <w:widowControl/>
              <w:jc w:val="center"/>
              <w:rPr>
                <w:rFonts w:ascii="宋体" w:hAnsi="宋体" w:cs="宋体"/>
                <w:color w:val="000000"/>
                <w:kern w:val="0"/>
                <w:sz w:val="16"/>
                <w:szCs w:val="16"/>
              </w:rPr>
            </w:pPr>
          </w:p>
        </w:tc>
        <w:tc>
          <w:tcPr>
            <w:tcW w:w="1036" w:type="dxa"/>
            <w:vMerge w:val="continue"/>
            <w:vAlign w:val="center"/>
          </w:tcPr>
          <w:p w14:paraId="3FBA111B">
            <w:pPr>
              <w:widowControl/>
              <w:jc w:val="center"/>
              <w:rPr>
                <w:rFonts w:ascii="宋体" w:hAnsi="宋体" w:cs="宋体"/>
                <w:color w:val="000000"/>
                <w:kern w:val="0"/>
                <w:sz w:val="16"/>
                <w:szCs w:val="16"/>
              </w:rPr>
            </w:pPr>
          </w:p>
        </w:tc>
        <w:tc>
          <w:tcPr>
            <w:tcW w:w="2148" w:type="dxa"/>
            <w:shd w:val="clear" w:color="auto" w:fill="auto"/>
            <w:vAlign w:val="center"/>
          </w:tcPr>
          <w:p w14:paraId="602EFDE4">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[5%，8%)</w:t>
            </w:r>
          </w:p>
        </w:tc>
        <w:tc>
          <w:tcPr>
            <w:tcW w:w="456" w:type="dxa"/>
            <w:shd w:val="clear" w:color="auto" w:fill="auto"/>
            <w:vAlign w:val="center"/>
          </w:tcPr>
          <w:p w14:paraId="05CEFFCE">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15</w:t>
            </w:r>
          </w:p>
        </w:tc>
        <w:tc>
          <w:tcPr>
            <w:tcW w:w="1043" w:type="dxa"/>
            <w:gridSpan w:val="2"/>
            <w:vMerge w:val="continue"/>
            <w:vAlign w:val="center"/>
          </w:tcPr>
          <w:p w14:paraId="71382B7E">
            <w:pPr>
              <w:widowControl/>
              <w:jc w:val="left"/>
              <w:rPr>
                <w:rFonts w:ascii="黑体" w:hAnsi="黑体" w:eastAsia="黑体" w:cs="宋体"/>
                <w:color w:val="000000"/>
                <w:kern w:val="0"/>
                <w:sz w:val="16"/>
                <w:szCs w:val="16"/>
              </w:rPr>
            </w:pPr>
          </w:p>
        </w:tc>
      </w:tr>
      <w:tr w14:paraId="1069A7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22FA4916">
            <w:pPr>
              <w:widowControl/>
              <w:jc w:val="left"/>
              <w:rPr>
                <w:rFonts w:ascii="等线" w:hAnsi="等线" w:eastAsia="等线" w:cs="宋体"/>
                <w:color w:val="000000"/>
                <w:kern w:val="0"/>
                <w:sz w:val="16"/>
                <w:szCs w:val="16"/>
              </w:rPr>
            </w:pPr>
          </w:p>
        </w:tc>
        <w:tc>
          <w:tcPr>
            <w:tcW w:w="830" w:type="dxa"/>
            <w:vMerge w:val="continue"/>
            <w:vAlign w:val="center"/>
          </w:tcPr>
          <w:p w14:paraId="76D29B78">
            <w:pPr>
              <w:widowControl/>
              <w:jc w:val="center"/>
              <w:rPr>
                <w:rFonts w:ascii="宋体" w:hAnsi="宋体" w:cs="宋体"/>
                <w:color w:val="000000"/>
                <w:kern w:val="0"/>
                <w:sz w:val="16"/>
                <w:szCs w:val="16"/>
              </w:rPr>
            </w:pPr>
          </w:p>
        </w:tc>
        <w:tc>
          <w:tcPr>
            <w:tcW w:w="988" w:type="dxa"/>
            <w:vMerge w:val="continue"/>
            <w:vAlign w:val="center"/>
          </w:tcPr>
          <w:p w14:paraId="08A33991">
            <w:pPr>
              <w:widowControl/>
              <w:jc w:val="center"/>
              <w:rPr>
                <w:rFonts w:ascii="宋体" w:hAnsi="宋体" w:cs="宋体"/>
                <w:color w:val="000000"/>
                <w:kern w:val="0"/>
                <w:sz w:val="16"/>
                <w:szCs w:val="16"/>
              </w:rPr>
            </w:pPr>
          </w:p>
        </w:tc>
        <w:tc>
          <w:tcPr>
            <w:tcW w:w="1081" w:type="dxa"/>
            <w:vMerge w:val="continue"/>
            <w:vAlign w:val="center"/>
          </w:tcPr>
          <w:p w14:paraId="78E42399">
            <w:pPr>
              <w:widowControl/>
              <w:jc w:val="center"/>
              <w:rPr>
                <w:rFonts w:ascii="宋体" w:hAnsi="宋体" w:cs="宋体"/>
                <w:color w:val="000000"/>
                <w:kern w:val="0"/>
                <w:sz w:val="16"/>
                <w:szCs w:val="16"/>
              </w:rPr>
            </w:pPr>
          </w:p>
        </w:tc>
        <w:tc>
          <w:tcPr>
            <w:tcW w:w="1240" w:type="dxa"/>
            <w:vMerge w:val="continue"/>
            <w:vAlign w:val="center"/>
          </w:tcPr>
          <w:p w14:paraId="6336A010">
            <w:pPr>
              <w:widowControl/>
              <w:jc w:val="center"/>
              <w:rPr>
                <w:rFonts w:ascii="宋体" w:hAnsi="宋体" w:cs="宋体"/>
                <w:color w:val="000000"/>
                <w:kern w:val="0"/>
                <w:sz w:val="16"/>
                <w:szCs w:val="16"/>
              </w:rPr>
            </w:pPr>
          </w:p>
        </w:tc>
        <w:tc>
          <w:tcPr>
            <w:tcW w:w="1036" w:type="dxa"/>
            <w:vMerge w:val="continue"/>
            <w:vAlign w:val="center"/>
          </w:tcPr>
          <w:p w14:paraId="41A76CD7">
            <w:pPr>
              <w:widowControl/>
              <w:jc w:val="center"/>
              <w:rPr>
                <w:rFonts w:ascii="宋体" w:hAnsi="宋体" w:cs="宋体"/>
                <w:color w:val="000000"/>
                <w:kern w:val="0"/>
                <w:sz w:val="16"/>
                <w:szCs w:val="16"/>
              </w:rPr>
            </w:pPr>
          </w:p>
        </w:tc>
        <w:tc>
          <w:tcPr>
            <w:tcW w:w="2148" w:type="dxa"/>
            <w:shd w:val="clear" w:color="auto" w:fill="auto"/>
            <w:vAlign w:val="center"/>
          </w:tcPr>
          <w:p w14:paraId="4F074494">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[8%，10%)</w:t>
            </w:r>
          </w:p>
        </w:tc>
        <w:tc>
          <w:tcPr>
            <w:tcW w:w="456" w:type="dxa"/>
            <w:shd w:val="clear" w:color="auto" w:fill="auto"/>
            <w:vAlign w:val="center"/>
          </w:tcPr>
          <w:p w14:paraId="64DEBEC0">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10</w:t>
            </w:r>
          </w:p>
        </w:tc>
        <w:tc>
          <w:tcPr>
            <w:tcW w:w="1043" w:type="dxa"/>
            <w:gridSpan w:val="2"/>
            <w:vMerge w:val="continue"/>
            <w:vAlign w:val="center"/>
          </w:tcPr>
          <w:p w14:paraId="5048B58C">
            <w:pPr>
              <w:widowControl/>
              <w:jc w:val="left"/>
              <w:rPr>
                <w:rFonts w:ascii="黑体" w:hAnsi="黑体" w:eastAsia="黑体" w:cs="宋体"/>
                <w:color w:val="000000"/>
                <w:kern w:val="0"/>
                <w:sz w:val="16"/>
                <w:szCs w:val="16"/>
              </w:rPr>
            </w:pPr>
          </w:p>
        </w:tc>
      </w:tr>
      <w:tr w14:paraId="05436F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405E2625">
            <w:pPr>
              <w:widowControl/>
              <w:jc w:val="left"/>
              <w:rPr>
                <w:rFonts w:ascii="等线" w:hAnsi="等线" w:eastAsia="等线" w:cs="宋体"/>
                <w:color w:val="000000"/>
                <w:kern w:val="0"/>
                <w:sz w:val="16"/>
                <w:szCs w:val="16"/>
              </w:rPr>
            </w:pPr>
          </w:p>
        </w:tc>
        <w:tc>
          <w:tcPr>
            <w:tcW w:w="830" w:type="dxa"/>
            <w:vMerge w:val="continue"/>
            <w:vAlign w:val="center"/>
          </w:tcPr>
          <w:p w14:paraId="76EA2ABC">
            <w:pPr>
              <w:widowControl/>
              <w:jc w:val="center"/>
              <w:rPr>
                <w:rFonts w:ascii="宋体" w:hAnsi="宋体" w:cs="宋体"/>
                <w:color w:val="000000"/>
                <w:kern w:val="0"/>
                <w:sz w:val="16"/>
                <w:szCs w:val="16"/>
              </w:rPr>
            </w:pPr>
          </w:p>
        </w:tc>
        <w:tc>
          <w:tcPr>
            <w:tcW w:w="988" w:type="dxa"/>
            <w:vMerge w:val="continue"/>
            <w:vAlign w:val="center"/>
          </w:tcPr>
          <w:p w14:paraId="10767193">
            <w:pPr>
              <w:widowControl/>
              <w:jc w:val="center"/>
              <w:rPr>
                <w:rFonts w:ascii="宋体" w:hAnsi="宋体" w:cs="宋体"/>
                <w:color w:val="000000"/>
                <w:kern w:val="0"/>
                <w:sz w:val="16"/>
                <w:szCs w:val="16"/>
              </w:rPr>
            </w:pPr>
          </w:p>
        </w:tc>
        <w:tc>
          <w:tcPr>
            <w:tcW w:w="1081" w:type="dxa"/>
            <w:vMerge w:val="continue"/>
            <w:vAlign w:val="center"/>
          </w:tcPr>
          <w:p w14:paraId="2AEFD0DF">
            <w:pPr>
              <w:widowControl/>
              <w:jc w:val="center"/>
              <w:rPr>
                <w:rFonts w:ascii="宋体" w:hAnsi="宋体" w:cs="宋体"/>
                <w:color w:val="000000"/>
                <w:kern w:val="0"/>
                <w:sz w:val="16"/>
                <w:szCs w:val="16"/>
              </w:rPr>
            </w:pPr>
          </w:p>
        </w:tc>
        <w:tc>
          <w:tcPr>
            <w:tcW w:w="1240" w:type="dxa"/>
            <w:vMerge w:val="continue"/>
            <w:vAlign w:val="center"/>
          </w:tcPr>
          <w:p w14:paraId="4D2CC4E4">
            <w:pPr>
              <w:widowControl/>
              <w:jc w:val="center"/>
              <w:rPr>
                <w:rFonts w:ascii="宋体" w:hAnsi="宋体" w:cs="宋体"/>
                <w:color w:val="000000"/>
                <w:kern w:val="0"/>
                <w:sz w:val="16"/>
                <w:szCs w:val="16"/>
              </w:rPr>
            </w:pPr>
          </w:p>
        </w:tc>
        <w:tc>
          <w:tcPr>
            <w:tcW w:w="1036" w:type="dxa"/>
            <w:vMerge w:val="continue"/>
            <w:vAlign w:val="center"/>
          </w:tcPr>
          <w:p w14:paraId="498A3C6A">
            <w:pPr>
              <w:widowControl/>
              <w:jc w:val="center"/>
              <w:rPr>
                <w:rFonts w:ascii="宋体" w:hAnsi="宋体" w:cs="宋体"/>
                <w:color w:val="000000"/>
                <w:kern w:val="0"/>
                <w:sz w:val="16"/>
                <w:szCs w:val="16"/>
              </w:rPr>
            </w:pPr>
          </w:p>
        </w:tc>
        <w:tc>
          <w:tcPr>
            <w:tcW w:w="2148" w:type="dxa"/>
            <w:shd w:val="clear" w:color="auto" w:fill="auto"/>
            <w:vAlign w:val="center"/>
          </w:tcPr>
          <w:p w14:paraId="573C8353">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[10%，15%)</w:t>
            </w:r>
          </w:p>
        </w:tc>
        <w:tc>
          <w:tcPr>
            <w:tcW w:w="456" w:type="dxa"/>
            <w:shd w:val="clear" w:color="auto" w:fill="auto"/>
            <w:vAlign w:val="center"/>
          </w:tcPr>
          <w:p w14:paraId="4786F8AB">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1FFE9915">
            <w:pPr>
              <w:widowControl/>
              <w:jc w:val="left"/>
              <w:rPr>
                <w:rFonts w:ascii="黑体" w:hAnsi="黑体" w:eastAsia="黑体" w:cs="宋体"/>
                <w:color w:val="000000"/>
                <w:kern w:val="0"/>
                <w:sz w:val="16"/>
                <w:szCs w:val="16"/>
              </w:rPr>
            </w:pPr>
          </w:p>
        </w:tc>
      </w:tr>
      <w:tr w14:paraId="6147D5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072310A4">
            <w:pPr>
              <w:widowControl/>
              <w:jc w:val="left"/>
              <w:rPr>
                <w:rFonts w:ascii="等线" w:hAnsi="等线" w:eastAsia="等线" w:cs="宋体"/>
                <w:color w:val="000000"/>
                <w:kern w:val="0"/>
                <w:sz w:val="16"/>
                <w:szCs w:val="16"/>
              </w:rPr>
            </w:pPr>
          </w:p>
        </w:tc>
        <w:tc>
          <w:tcPr>
            <w:tcW w:w="830" w:type="dxa"/>
            <w:vMerge w:val="continue"/>
            <w:vAlign w:val="center"/>
          </w:tcPr>
          <w:p w14:paraId="674208AA">
            <w:pPr>
              <w:widowControl/>
              <w:jc w:val="center"/>
              <w:rPr>
                <w:rFonts w:ascii="宋体" w:hAnsi="宋体" w:cs="宋体"/>
                <w:color w:val="000000"/>
                <w:kern w:val="0"/>
                <w:sz w:val="16"/>
                <w:szCs w:val="16"/>
              </w:rPr>
            </w:pPr>
          </w:p>
        </w:tc>
        <w:tc>
          <w:tcPr>
            <w:tcW w:w="988" w:type="dxa"/>
            <w:vMerge w:val="continue"/>
            <w:vAlign w:val="center"/>
          </w:tcPr>
          <w:p w14:paraId="6B535E96">
            <w:pPr>
              <w:widowControl/>
              <w:jc w:val="center"/>
              <w:rPr>
                <w:rFonts w:ascii="宋体" w:hAnsi="宋体" w:cs="宋体"/>
                <w:color w:val="000000"/>
                <w:kern w:val="0"/>
                <w:sz w:val="16"/>
                <w:szCs w:val="16"/>
              </w:rPr>
            </w:pPr>
          </w:p>
        </w:tc>
        <w:tc>
          <w:tcPr>
            <w:tcW w:w="1081" w:type="dxa"/>
            <w:vMerge w:val="continue"/>
            <w:vAlign w:val="center"/>
          </w:tcPr>
          <w:p w14:paraId="786091DB">
            <w:pPr>
              <w:widowControl/>
              <w:jc w:val="center"/>
              <w:rPr>
                <w:rFonts w:ascii="宋体" w:hAnsi="宋体" w:cs="宋体"/>
                <w:color w:val="000000"/>
                <w:kern w:val="0"/>
                <w:sz w:val="16"/>
                <w:szCs w:val="16"/>
              </w:rPr>
            </w:pPr>
          </w:p>
        </w:tc>
        <w:tc>
          <w:tcPr>
            <w:tcW w:w="1240" w:type="dxa"/>
            <w:vMerge w:val="continue"/>
            <w:vAlign w:val="center"/>
          </w:tcPr>
          <w:p w14:paraId="2BC87805">
            <w:pPr>
              <w:widowControl/>
              <w:jc w:val="center"/>
              <w:rPr>
                <w:rFonts w:ascii="宋体" w:hAnsi="宋体" w:cs="宋体"/>
                <w:color w:val="000000"/>
                <w:kern w:val="0"/>
                <w:sz w:val="16"/>
                <w:szCs w:val="16"/>
              </w:rPr>
            </w:pPr>
          </w:p>
        </w:tc>
        <w:tc>
          <w:tcPr>
            <w:tcW w:w="1036" w:type="dxa"/>
            <w:vMerge w:val="continue"/>
            <w:vAlign w:val="center"/>
          </w:tcPr>
          <w:p w14:paraId="44B11C3A">
            <w:pPr>
              <w:widowControl/>
              <w:jc w:val="center"/>
              <w:rPr>
                <w:rFonts w:ascii="宋体" w:hAnsi="宋体" w:cs="宋体"/>
                <w:color w:val="000000"/>
                <w:kern w:val="0"/>
                <w:sz w:val="16"/>
                <w:szCs w:val="16"/>
              </w:rPr>
            </w:pPr>
          </w:p>
        </w:tc>
        <w:tc>
          <w:tcPr>
            <w:tcW w:w="2148" w:type="dxa"/>
            <w:shd w:val="clear" w:color="auto" w:fill="auto"/>
            <w:vAlign w:val="center"/>
          </w:tcPr>
          <w:p w14:paraId="5994B0B0">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≥15%</w:t>
            </w:r>
          </w:p>
        </w:tc>
        <w:tc>
          <w:tcPr>
            <w:tcW w:w="456" w:type="dxa"/>
            <w:shd w:val="clear" w:color="auto" w:fill="auto"/>
            <w:vAlign w:val="center"/>
          </w:tcPr>
          <w:p w14:paraId="384B450D">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3AA4D9E4">
            <w:pPr>
              <w:widowControl/>
              <w:jc w:val="left"/>
              <w:rPr>
                <w:rFonts w:ascii="黑体" w:hAnsi="黑体" w:eastAsia="黑体" w:cs="宋体"/>
                <w:color w:val="000000"/>
                <w:kern w:val="0"/>
                <w:sz w:val="16"/>
                <w:szCs w:val="16"/>
              </w:rPr>
            </w:pPr>
          </w:p>
        </w:tc>
      </w:tr>
      <w:tr w14:paraId="0F9EB8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1BCF8E4C">
            <w:pPr>
              <w:widowControl/>
              <w:jc w:val="left"/>
              <w:rPr>
                <w:rFonts w:ascii="等线" w:hAnsi="等线" w:eastAsia="等线" w:cs="宋体"/>
                <w:color w:val="000000"/>
                <w:kern w:val="0"/>
                <w:sz w:val="16"/>
                <w:szCs w:val="16"/>
              </w:rPr>
            </w:pPr>
          </w:p>
        </w:tc>
        <w:tc>
          <w:tcPr>
            <w:tcW w:w="830" w:type="dxa"/>
            <w:vMerge w:val="continue"/>
            <w:vAlign w:val="center"/>
          </w:tcPr>
          <w:p w14:paraId="0492B57B">
            <w:pPr>
              <w:widowControl/>
              <w:jc w:val="center"/>
              <w:rPr>
                <w:rFonts w:ascii="宋体" w:hAnsi="宋体" w:cs="宋体"/>
                <w:color w:val="000000"/>
                <w:kern w:val="0"/>
                <w:sz w:val="16"/>
                <w:szCs w:val="16"/>
              </w:rPr>
            </w:pPr>
          </w:p>
        </w:tc>
        <w:tc>
          <w:tcPr>
            <w:tcW w:w="988" w:type="dxa"/>
            <w:vMerge w:val="continue"/>
            <w:vAlign w:val="center"/>
          </w:tcPr>
          <w:p w14:paraId="0B48E82F">
            <w:pPr>
              <w:widowControl/>
              <w:jc w:val="center"/>
              <w:rPr>
                <w:rFonts w:ascii="宋体" w:hAnsi="宋体" w:cs="宋体"/>
                <w:color w:val="000000"/>
                <w:kern w:val="0"/>
                <w:sz w:val="16"/>
                <w:szCs w:val="16"/>
              </w:rPr>
            </w:pPr>
          </w:p>
        </w:tc>
        <w:tc>
          <w:tcPr>
            <w:tcW w:w="1081" w:type="dxa"/>
            <w:vMerge w:val="restart"/>
            <w:shd w:val="clear" w:color="auto" w:fill="auto"/>
            <w:vAlign w:val="center"/>
          </w:tcPr>
          <w:p w14:paraId="070004E8">
            <w:pPr>
              <w:widowControl/>
              <w:jc w:val="center"/>
              <w:rPr>
                <w:rFonts w:ascii="宋体" w:hAnsi="宋体" w:cs="宋体"/>
                <w:color w:val="000000"/>
                <w:kern w:val="0"/>
                <w:sz w:val="16"/>
                <w:szCs w:val="16"/>
              </w:rPr>
            </w:pPr>
            <w:r>
              <w:rPr>
                <w:rFonts w:hint="eastAsia" w:ascii="宋体" w:hAnsi="宋体" w:cs="宋体"/>
                <w:color w:val="000000"/>
                <w:kern w:val="0"/>
                <w:sz w:val="16"/>
                <w:szCs w:val="16"/>
              </w:rPr>
              <w:t>一般缺陷情况</w:t>
            </w:r>
          </w:p>
        </w:tc>
        <w:tc>
          <w:tcPr>
            <w:tcW w:w="1240" w:type="dxa"/>
            <w:vMerge w:val="restart"/>
            <w:shd w:val="clear" w:color="auto" w:fill="auto"/>
            <w:vAlign w:val="center"/>
          </w:tcPr>
          <w:p w14:paraId="26C8E3BE">
            <w:pPr>
              <w:widowControl/>
              <w:jc w:val="center"/>
              <w:rPr>
                <w:rFonts w:ascii="宋体" w:hAnsi="宋体" w:cs="宋体"/>
                <w:color w:val="000000"/>
                <w:kern w:val="0"/>
                <w:sz w:val="16"/>
                <w:szCs w:val="16"/>
              </w:rPr>
            </w:pPr>
            <w:r>
              <w:rPr>
                <w:rFonts w:hint="eastAsia" w:ascii="宋体" w:hAnsi="宋体" w:cs="宋体"/>
                <w:color w:val="000000"/>
                <w:kern w:val="0"/>
                <w:sz w:val="16"/>
                <w:szCs w:val="16"/>
              </w:rPr>
              <w:t>一般缺陷率（10年内一般缺陷数占同类设备总运行数量的比例）</w:t>
            </w:r>
          </w:p>
        </w:tc>
        <w:tc>
          <w:tcPr>
            <w:tcW w:w="1036" w:type="dxa"/>
            <w:vMerge w:val="restart"/>
            <w:shd w:val="clear" w:color="auto" w:fill="auto"/>
            <w:vAlign w:val="center"/>
          </w:tcPr>
          <w:p w14:paraId="03D5B0FE">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37F39FE5">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0缺陷</w:t>
            </w:r>
          </w:p>
        </w:tc>
        <w:tc>
          <w:tcPr>
            <w:tcW w:w="456" w:type="dxa"/>
            <w:shd w:val="clear" w:color="000000" w:fill="D9D9D9"/>
            <w:vAlign w:val="center"/>
          </w:tcPr>
          <w:p w14:paraId="1849E0B2">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r>
              <w:rPr>
                <w:rFonts w:ascii="黑体" w:hAnsi="黑体" w:eastAsia="黑体" w:cs="宋体"/>
                <w:color w:val="000000"/>
                <w:kern w:val="0"/>
                <w:sz w:val="16"/>
                <w:szCs w:val="16"/>
              </w:rPr>
              <w:t>5</w:t>
            </w:r>
          </w:p>
        </w:tc>
        <w:tc>
          <w:tcPr>
            <w:tcW w:w="1043" w:type="dxa"/>
            <w:gridSpan w:val="2"/>
            <w:vMerge w:val="continue"/>
            <w:vAlign w:val="center"/>
          </w:tcPr>
          <w:p w14:paraId="653DD199">
            <w:pPr>
              <w:widowControl/>
              <w:jc w:val="left"/>
              <w:rPr>
                <w:rFonts w:ascii="黑体" w:hAnsi="黑体" w:eastAsia="黑体" w:cs="宋体"/>
                <w:color w:val="000000"/>
                <w:kern w:val="0"/>
                <w:sz w:val="16"/>
                <w:szCs w:val="16"/>
              </w:rPr>
            </w:pPr>
          </w:p>
        </w:tc>
      </w:tr>
      <w:tr w14:paraId="515947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571D5DAA">
            <w:pPr>
              <w:widowControl/>
              <w:jc w:val="left"/>
              <w:rPr>
                <w:rFonts w:ascii="等线" w:hAnsi="等线" w:eastAsia="等线" w:cs="宋体"/>
                <w:color w:val="000000"/>
                <w:kern w:val="0"/>
                <w:sz w:val="16"/>
                <w:szCs w:val="16"/>
              </w:rPr>
            </w:pPr>
          </w:p>
        </w:tc>
        <w:tc>
          <w:tcPr>
            <w:tcW w:w="830" w:type="dxa"/>
            <w:vMerge w:val="continue"/>
            <w:vAlign w:val="center"/>
          </w:tcPr>
          <w:p w14:paraId="1C9F1B8D">
            <w:pPr>
              <w:widowControl/>
              <w:jc w:val="left"/>
              <w:rPr>
                <w:rFonts w:ascii="宋体" w:hAnsi="宋体" w:cs="宋体"/>
                <w:color w:val="000000"/>
                <w:kern w:val="0"/>
                <w:sz w:val="16"/>
                <w:szCs w:val="16"/>
              </w:rPr>
            </w:pPr>
          </w:p>
        </w:tc>
        <w:tc>
          <w:tcPr>
            <w:tcW w:w="988" w:type="dxa"/>
            <w:vMerge w:val="continue"/>
            <w:vAlign w:val="center"/>
          </w:tcPr>
          <w:p w14:paraId="1EF0AD11">
            <w:pPr>
              <w:widowControl/>
              <w:jc w:val="left"/>
              <w:rPr>
                <w:rFonts w:ascii="宋体" w:hAnsi="宋体" w:cs="宋体"/>
                <w:color w:val="000000"/>
                <w:kern w:val="0"/>
                <w:sz w:val="16"/>
                <w:szCs w:val="16"/>
              </w:rPr>
            </w:pPr>
          </w:p>
        </w:tc>
        <w:tc>
          <w:tcPr>
            <w:tcW w:w="1081" w:type="dxa"/>
            <w:vMerge w:val="continue"/>
            <w:vAlign w:val="center"/>
          </w:tcPr>
          <w:p w14:paraId="122C2B89">
            <w:pPr>
              <w:widowControl/>
              <w:jc w:val="left"/>
              <w:rPr>
                <w:rFonts w:ascii="宋体" w:hAnsi="宋体" w:cs="宋体"/>
                <w:color w:val="000000"/>
                <w:kern w:val="0"/>
                <w:sz w:val="16"/>
                <w:szCs w:val="16"/>
              </w:rPr>
            </w:pPr>
          </w:p>
        </w:tc>
        <w:tc>
          <w:tcPr>
            <w:tcW w:w="1240" w:type="dxa"/>
            <w:vMerge w:val="continue"/>
            <w:vAlign w:val="center"/>
          </w:tcPr>
          <w:p w14:paraId="438EEFC0">
            <w:pPr>
              <w:widowControl/>
              <w:jc w:val="left"/>
              <w:rPr>
                <w:rFonts w:ascii="宋体" w:hAnsi="宋体" w:cs="宋体"/>
                <w:color w:val="000000"/>
                <w:kern w:val="0"/>
                <w:sz w:val="16"/>
                <w:szCs w:val="16"/>
              </w:rPr>
            </w:pPr>
          </w:p>
        </w:tc>
        <w:tc>
          <w:tcPr>
            <w:tcW w:w="1036" w:type="dxa"/>
            <w:vMerge w:val="continue"/>
            <w:vAlign w:val="center"/>
          </w:tcPr>
          <w:p w14:paraId="5D906F71">
            <w:pPr>
              <w:widowControl/>
              <w:jc w:val="left"/>
              <w:rPr>
                <w:rFonts w:ascii="宋体" w:hAnsi="宋体" w:cs="宋体"/>
                <w:color w:val="000000"/>
                <w:kern w:val="0"/>
                <w:sz w:val="16"/>
                <w:szCs w:val="16"/>
              </w:rPr>
            </w:pPr>
          </w:p>
        </w:tc>
        <w:tc>
          <w:tcPr>
            <w:tcW w:w="2148" w:type="dxa"/>
            <w:shd w:val="clear" w:color="auto" w:fill="auto"/>
            <w:vAlign w:val="center"/>
          </w:tcPr>
          <w:p w14:paraId="091021F6">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＜8%</w:t>
            </w:r>
          </w:p>
        </w:tc>
        <w:tc>
          <w:tcPr>
            <w:tcW w:w="456" w:type="dxa"/>
            <w:shd w:val="clear" w:color="auto" w:fill="auto"/>
            <w:vAlign w:val="center"/>
          </w:tcPr>
          <w:p w14:paraId="4AF3A106">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8</w:t>
            </w:r>
          </w:p>
        </w:tc>
        <w:tc>
          <w:tcPr>
            <w:tcW w:w="1043" w:type="dxa"/>
            <w:gridSpan w:val="2"/>
            <w:vMerge w:val="continue"/>
            <w:vAlign w:val="center"/>
          </w:tcPr>
          <w:p w14:paraId="7F754808">
            <w:pPr>
              <w:widowControl/>
              <w:jc w:val="left"/>
              <w:rPr>
                <w:rFonts w:ascii="黑体" w:hAnsi="黑体" w:eastAsia="黑体" w:cs="宋体"/>
                <w:color w:val="000000"/>
                <w:kern w:val="0"/>
                <w:sz w:val="16"/>
                <w:szCs w:val="16"/>
              </w:rPr>
            </w:pPr>
          </w:p>
        </w:tc>
      </w:tr>
      <w:tr w14:paraId="2DB3F2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6917F4CD">
            <w:pPr>
              <w:widowControl/>
              <w:jc w:val="left"/>
              <w:rPr>
                <w:rFonts w:ascii="等线" w:hAnsi="等线" w:eastAsia="等线" w:cs="宋体"/>
                <w:color w:val="000000"/>
                <w:kern w:val="0"/>
                <w:sz w:val="16"/>
                <w:szCs w:val="16"/>
              </w:rPr>
            </w:pPr>
          </w:p>
        </w:tc>
        <w:tc>
          <w:tcPr>
            <w:tcW w:w="830" w:type="dxa"/>
            <w:vMerge w:val="continue"/>
            <w:vAlign w:val="center"/>
          </w:tcPr>
          <w:p w14:paraId="57174260">
            <w:pPr>
              <w:widowControl/>
              <w:jc w:val="left"/>
              <w:rPr>
                <w:rFonts w:ascii="宋体" w:hAnsi="宋体" w:cs="宋体"/>
                <w:color w:val="000000"/>
                <w:kern w:val="0"/>
                <w:sz w:val="16"/>
                <w:szCs w:val="16"/>
              </w:rPr>
            </w:pPr>
          </w:p>
        </w:tc>
        <w:tc>
          <w:tcPr>
            <w:tcW w:w="988" w:type="dxa"/>
            <w:vMerge w:val="continue"/>
            <w:vAlign w:val="center"/>
          </w:tcPr>
          <w:p w14:paraId="325A37EA">
            <w:pPr>
              <w:widowControl/>
              <w:jc w:val="left"/>
              <w:rPr>
                <w:rFonts w:ascii="宋体" w:hAnsi="宋体" w:cs="宋体"/>
                <w:color w:val="000000"/>
                <w:kern w:val="0"/>
                <w:sz w:val="16"/>
                <w:szCs w:val="16"/>
              </w:rPr>
            </w:pPr>
          </w:p>
        </w:tc>
        <w:tc>
          <w:tcPr>
            <w:tcW w:w="1081" w:type="dxa"/>
            <w:vMerge w:val="continue"/>
            <w:vAlign w:val="center"/>
          </w:tcPr>
          <w:p w14:paraId="4A1FDA15">
            <w:pPr>
              <w:widowControl/>
              <w:jc w:val="left"/>
              <w:rPr>
                <w:rFonts w:ascii="宋体" w:hAnsi="宋体" w:cs="宋体"/>
                <w:color w:val="000000"/>
                <w:kern w:val="0"/>
                <w:sz w:val="16"/>
                <w:szCs w:val="16"/>
              </w:rPr>
            </w:pPr>
          </w:p>
        </w:tc>
        <w:tc>
          <w:tcPr>
            <w:tcW w:w="1240" w:type="dxa"/>
            <w:vMerge w:val="continue"/>
            <w:vAlign w:val="center"/>
          </w:tcPr>
          <w:p w14:paraId="42FE3BCF">
            <w:pPr>
              <w:widowControl/>
              <w:jc w:val="left"/>
              <w:rPr>
                <w:rFonts w:ascii="宋体" w:hAnsi="宋体" w:cs="宋体"/>
                <w:color w:val="000000"/>
                <w:kern w:val="0"/>
                <w:sz w:val="16"/>
                <w:szCs w:val="16"/>
              </w:rPr>
            </w:pPr>
          </w:p>
        </w:tc>
        <w:tc>
          <w:tcPr>
            <w:tcW w:w="1036" w:type="dxa"/>
            <w:vMerge w:val="continue"/>
            <w:vAlign w:val="center"/>
          </w:tcPr>
          <w:p w14:paraId="2E49486C">
            <w:pPr>
              <w:widowControl/>
              <w:jc w:val="left"/>
              <w:rPr>
                <w:rFonts w:ascii="宋体" w:hAnsi="宋体" w:cs="宋体"/>
                <w:color w:val="000000"/>
                <w:kern w:val="0"/>
                <w:sz w:val="16"/>
                <w:szCs w:val="16"/>
              </w:rPr>
            </w:pPr>
          </w:p>
        </w:tc>
        <w:tc>
          <w:tcPr>
            <w:tcW w:w="2148" w:type="dxa"/>
            <w:shd w:val="clear" w:color="auto" w:fill="auto"/>
            <w:vAlign w:val="center"/>
          </w:tcPr>
          <w:p w14:paraId="4C6C110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[8%，10%)</w:t>
            </w:r>
          </w:p>
        </w:tc>
        <w:tc>
          <w:tcPr>
            <w:tcW w:w="456" w:type="dxa"/>
            <w:shd w:val="clear" w:color="auto" w:fill="auto"/>
            <w:vAlign w:val="center"/>
          </w:tcPr>
          <w:p w14:paraId="68D52EE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55761296">
            <w:pPr>
              <w:widowControl/>
              <w:jc w:val="left"/>
              <w:rPr>
                <w:rFonts w:ascii="黑体" w:hAnsi="黑体" w:eastAsia="黑体" w:cs="宋体"/>
                <w:color w:val="000000"/>
                <w:kern w:val="0"/>
                <w:sz w:val="16"/>
                <w:szCs w:val="16"/>
              </w:rPr>
            </w:pPr>
          </w:p>
        </w:tc>
      </w:tr>
      <w:tr w14:paraId="357911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6B5EF247">
            <w:pPr>
              <w:widowControl/>
              <w:jc w:val="left"/>
              <w:rPr>
                <w:rFonts w:ascii="等线" w:hAnsi="等线" w:eastAsia="等线" w:cs="宋体"/>
                <w:color w:val="000000"/>
                <w:kern w:val="0"/>
                <w:sz w:val="16"/>
                <w:szCs w:val="16"/>
              </w:rPr>
            </w:pPr>
          </w:p>
        </w:tc>
        <w:tc>
          <w:tcPr>
            <w:tcW w:w="830" w:type="dxa"/>
            <w:vMerge w:val="continue"/>
            <w:vAlign w:val="center"/>
          </w:tcPr>
          <w:p w14:paraId="34817BA4">
            <w:pPr>
              <w:widowControl/>
              <w:jc w:val="left"/>
              <w:rPr>
                <w:rFonts w:ascii="宋体" w:hAnsi="宋体" w:cs="宋体"/>
                <w:color w:val="000000"/>
                <w:kern w:val="0"/>
                <w:sz w:val="16"/>
                <w:szCs w:val="16"/>
              </w:rPr>
            </w:pPr>
          </w:p>
        </w:tc>
        <w:tc>
          <w:tcPr>
            <w:tcW w:w="988" w:type="dxa"/>
            <w:vMerge w:val="continue"/>
            <w:vAlign w:val="center"/>
          </w:tcPr>
          <w:p w14:paraId="66710124">
            <w:pPr>
              <w:widowControl/>
              <w:jc w:val="left"/>
              <w:rPr>
                <w:rFonts w:ascii="宋体" w:hAnsi="宋体" w:cs="宋体"/>
                <w:color w:val="000000"/>
                <w:kern w:val="0"/>
                <w:sz w:val="16"/>
                <w:szCs w:val="16"/>
              </w:rPr>
            </w:pPr>
          </w:p>
        </w:tc>
        <w:tc>
          <w:tcPr>
            <w:tcW w:w="1081" w:type="dxa"/>
            <w:vMerge w:val="continue"/>
            <w:vAlign w:val="center"/>
          </w:tcPr>
          <w:p w14:paraId="1845B59F">
            <w:pPr>
              <w:widowControl/>
              <w:jc w:val="left"/>
              <w:rPr>
                <w:rFonts w:ascii="宋体" w:hAnsi="宋体" w:cs="宋体"/>
                <w:color w:val="000000"/>
                <w:kern w:val="0"/>
                <w:sz w:val="16"/>
                <w:szCs w:val="16"/>
              </w:rPr>
            </w:pPr>
          </w:p>
        </w:tc>
        <w:tc>
          <w:tcPr>
            <w:tcW w:w="1240" w:type="dxa"/>
            <w:vMerge w:val="continue"/>
            <w:vAlign w:val="center"/>
          </w:tcPr>
          <w:p w14:paraId="45554BAF">
            <w:pPr>
              <w:widowControl/>
              <w:jc w:val="left"/>
              <w:rPr>
                <w:rFonts w:ascii="宋体" w:hAnsi="宋体" w:cs="宋体"/>
                <w:color w:val="000000"/>
                <w:kern w:val="0"/>
                <w:sz w:val="16"/>
                <w:szCs w:val="16"/>
              </w:rPr>
            </w:pPr>
          </w:p>
        </w:tc>
        <w:tc>
          <w:tcPr>
            <w:tcW w:w="1036" w:type="dxa"/>
            <w:vMerge w:val="continue"/>
            <w:vAlign w:val="center"/>
          </w:tcPr>
          <w:p w14:paraId="744557E1">
            <w:pPr>
              <w:widowControl/>
              <w:jc w:val="left"/>
              <w:rPr>
                <w:rFonts w:ascii="宋体" w:hAnsi="宋体" w:cs="宋体"/>
                <w:color w:val="000000"/>
                <w:kern w:val="0"/>
                <w:sz w:val="16"/>
                <w:szCs w:val="16"/>
              </w:rPr>
            </w:pPr>
          </w:p>
        </w:tc>
        <w:tc>
          <w:tcPr>
            <w:tcW w:w="2148" w:type="dxa"/>
            <w:shd w:val="clear" w:color="auto" w:fill="auto"/>
            <w:vAlign w:val="center"/>
          </w:tcPr>
          <w:p w14:paraId="234954BE">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[10%，15%)</w:t>
            </w:r>
          </w:p>
        </w:tc>
        <w:tc>
          <w:tcPr>
            <w:tcW w:w="456" w:type="dxa"/>
            <w:shd w:val="clear" w:color="auto" w:fill="auto"/>
            <w:vAlign w:val="center"/>
          </w:tcPr>
          <w:p w14:paraId="4F44B631">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w:t>
            </w:r>
          </w:p>
        </w:tc>
        <w:tc>
          <w:tcPr>
            <w:tcW w:w="1043" w:type="dxa"/>
            <w:gridSpan w:val="2"/>
            <w:vMerge w:val="continue"/>
            <w:vAlign w:val="center"/>
          </w:tcPr>
          <w:p w14:paraId="1A0E6659">
            <w:pPr>
              <w:widowControl/>
              <w:jc w:val="left"/>
              <w:rPr>
                <w:rFonts w:ascii="黑体" w:hAnsi="黑体" w:eastAsia="黑体" w:cs="宋体"/>
                <w:color w:val="000000"/>
                <w:kern w:val="0"/>
                <w:sz w:val="16"/>
                <w:szCs w:val="16"/>
              </w:rPr>
            </w:pPr>
          </w:p>
        </w:tc>
      </w:tr>
      <w:tr w14:paraId="26C9F0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00907D84">
            <w:pPr>
              <w:widowControl/>
              <w:jc w:val="left"/>
              <w:rPr>
                <w:rFonts w:ascii="等线" w:hAnsi="等线" w:eastAsia="等线" w:cs="宋体"/>
                <w:color w:val="000000"/>
                <w:kern w:val="0"/>
                <w:sz w:val="16"/>
                <w:szCs w:val="16"/>
              </w:rPr>
            </w:pPr>
          </w:p>
        </w:tc>
        <w:tc>
          <w:tcPr>
            <w:tcW w:w="830" w:type="dxa"/>
            <w:vMerge w:val="continue"/>
            <w:vAlign w:val="center"/>
          </w:tcPr>
          <w:p w14:paraId="422BD73E">
            <w:pPr>
              <w:widowControl/>
              <w:jc w:val="left"/>
              <w:rPr>
                <w:rFonts w:ascii="宋体" w:hAnsi="宋体" w:cs="宋体"/>
                <w:color w:val="000000"/>
                <w:kern w:val="0"/>
                <w:sz w:val="16"/>
                <w:szCs w:val="16"/>
              </w:rPr>
            </w:pPr>
          </w:p>
        </w:tc>
        <w:tc>
          <w:tcPr>
            <w:tcW w:w="988" w:type="dxa"/>
            <w:vMerge w:val="continue"/>
            <w:vAlign w:val="center"/>
          </w:tcPr>
          <w:p w14:paraId="26ED3866">
            <w:pPr>
              <w:widowControl/>
              <w:jc w:val="left"/>
              <w:rPr>
                <w:rFonts w:ascii="宋体" w:hAnsi="宋体" w:cs="宋体"/>
                <w:color w:val="000000"/>
                <w:kern w:val="0"/>
                <w:sz w:val="16"/>
                <w:szCs w:val="16"/>
              </w:rPr>
            </w:pPr>
          </w:p>
        </w:tc>
        <w:tc>
          <w:tcPr>
            <w:tcW w:w="1081" w:type="dxa"/>
            <w:vMerge w:val="continue"/>
            <w:vAlign w:val="center"/>
          </w:tcPr>
          <w:p w14:paraId="75995BF2">
            <w:pPr>
              <w:widowControl/>
              <w:jc w:val="left"/>
              <w:rPr>
                <w:rFonts w:ascii="宋体" w:hAnsi="宋体" w:cs="宋体"/>
                <w:color w:val="000000"/>
                <w:kern w:val="0"/>
                <w:sz w:val="16"/>
                <w:szCs w:val="16"/>
              </w:rPr>
            </w:pPr>
          </w:p>
        </w:tc>
        <w:tc>
          <w:tcPr>
            <w:tcW w:w="1240" w:type="dxa"/>
            <w:vMerge w:val="continue"/>
            <w:vAlign w:val="center"/>
          </w:tcPr>
          <w:p w14:paraId="17694A47">
            <w:pPr>
              <w:widowControl/>
              <w:jc w:val="left"/>
              <w:rPr>
                <w:rFonts w:ascii="宋体" w:hAnsi="宋体" w:cs="宋体"/>
                <w:color w:val="000000"/>
                <w:kern w:val="0"/>
                <w:sz w:val="16"/>
                <w:szCs w:val="16"/>
              </w:rPr>
            </w:pPr>
          </w:p>
        </w:tc>
        <w:tc>
          <w:tcPr>
            <w:tcW w:w="1036" w:type="dxa"/>
            <w:vMerge w:val="continue"/>
            <w:vAlign w:val="center"/>
          </w:tcPr>
          <w:p w14:paraId="3D5346E8">
            <w:pPr>
              <w:widowControl/>
              <w:jc w:val="left"/>
              <w:rPr>
                <w:rFonts w:ascii="宋体" w:hAnsi="宋体" w:cs="宋体"/>
                <w:color w:val="000000"/>
                <w:kern w:val="0"/>
                <w:sz w:val="16"/>
                <w:szCs w:val="16"/>
              </w:rPr>
            </w:pPr>
          </w:p>
        </w:tc>
        <w:tc>
          <w:tcPr>
            <w:tcW w:w="2148" w:type="dxa"/>
            <w:shd w:val="clear" w:color="auto" w:fill="auto"/>
            <w:vAlign w:val="center"/>
          </w:tcPr>
          <w:p w14:paraId="3ED40634">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[15%，20%)</w:t>
            </w:r>
          </w:p>
        </w:tc>
        <w:tc>
          <w:tcPr>
            <w:tcW w:w="456" w:type="dxa"/>
            <w:shd w:val="clear" w:color="auto" w:fill="auto"/>
            <w:vAlign w:val="center"/>
          </w:tcPr>
          <w:p w14:paraId="66FEBD26">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p>
        </w:tc>
        <w:tc>
          <w:tcPr>
            <w:tcW w:w="1043" w:type="dxa"/>
            <w:gridSpan w:val="2"/>
            <w:vMerge w:val="continue"/>
            <w:vAlign w:val="center"/>
          </w:tcPr>
          <w:p w14:paraId="55AB46DA">
            <w:pPr>
              <w:widowControl/>
              <w:jc w:val="left"/>
              <w:rPr>
                <w:rFonts w:ascii="黑体" w:hAnsi="黑体" w:eastAsia="黑体" w:cs="宋体"/>
                <w:color w:val="000000"/>
                <w:kern w:val="0"/>
                <w:sz w:val="16"/>
                <w:szCs w:val="16"/>
              </w:rPr>
            </w:pPr>
          </w:p>
        </w:tc>
      </w:tr>
      <w:tr w14:paraId="61E24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80" w:type="dxa"/>
            <w:vMerge w:val="continue"/>
            <w:vAlign w:val="center"/>
          </w:tcPr>
          <w:p w14:paraId="2C1036DB">
            <w:pPr>
              <w:widowControl/>
              <w:jc w:val="left"/>
              <w:rPr>
                <w:rFonts w:ascii="等线" w:hAnsi="等线" w:eastAsia="等线" w:cs="宋体"/>
                <w:color w:val="000000"/>
                <w:kern w:val="0"/>
                <w:sz w:val="16"/>
                <w:szCs w:val="16"/>
              </w:rPr>
            </w:pPr>
          </w:p>
        </w:tc>
        <w:tc>
          <w:tcPr>
            <w:tcW w:w="830" w:type="dxa"/>
            <w:vMerge w:val="continue"/>
            <w:vAlign w:val="center"/>
          </w:tcPr>
          <w:p w14:paraId="05154C19">
            <w:pPr>
              <w:widowControl/>
              <w:jc w:val="left"/>
              <w:rPr>
                <w:rFonts w:ascii="宋体" w:hAnsi="宋体" w:cs="宋体"/>
                <w:color w:val="000000"/>
                <w:kern w:val="0"/>
                <w:sz w:val="16"/>
                <w:szCs w:val="16"/>
              </w:rPr>
            </w:pPr>
          </w:p>
        </w:tc>
        <w:tc>
          <w:tcPr>
            <w:tcW w:w="988" w:type="dxa"/>
            <w:vMerge w:val="continue"/>
            <w:vAlign w:val="center"/>
          </w:tcPr>
          <w:p w14:paraId="1D151B13">
            <w:pPr>
              <w:widowControl/>
              <w:jc w:val="left"/>
              <w:rPr>
                <w:rFonts w:ascii="宋体" w:hAnsi="宋体" w:cs="宋体"/>
                <w:color w:val="000000"/>
                <w:kern w:val="0"/>
                <w:sz w:val="16"/>
                <w:szCs w:val="16"/>
              </w:rPr>
            </w:pPr>
          </w:p>
        </w:tc>
        <w:tc>
          <w:tcPr>
            <w:tcW w:w="1081" w:type="dxa"/>
            <w:vMerge w:val="continue"/>
            <w:vAlign w:val="center"/>
          </w:tcPr>
          <w:p w14:paraId="4DBC6006">
            <w:pPr>
              <w:widowControl/>
              <w:jc w:val="left"/>
              <w:rPr>
                <w:rFonts w:ascii="宋体" w:hAnsi="宋体" w:cs="宋体"/>
                <w:color w:val="000000"/>
                <w:kern w:val="0"/>
                <w:sz w:val="16"/>
                <w:szCs w:val="16"/>
              </w:rPr>
            </w:pPr>
          </w:p>
        </w:tc>
        <w:tc>
          <w:tcPr>
            <w:tcW w:w="1240" w:type="dxa"/>
            <w:vMerge w:val="continue"/>
            <w:vAlign w:val="center"/>
          </w:tcPr>
          <w:p w14:paraId="4EBCA1E4">
            <w:pPr>
              <w:widowControl/>
              <w:jc w:val="left"/>
              <w:rPr>
                <w:rFonts w:ascii="宋体" w:hAnsi="宋体" w:cs="宋体"/>
                <w:color w:val="000000"/>
                <w:kern w:val="0"/>
                <w:sz w:val="16"/>
                <w:szCs w:val="16"/>
              </w:rPr>
            </w:pPr>
          </w:p>
        </w:tc>
        <w:tc>
          <w:tcPr>
            <w:tcW w:w="1036" w:type="dxa"/>
            <w:vMerge w:val="continue"/>
            <w:vAlign w:val="center"/>
          </w:tcPr>
          <w:p w14:paraId="359B8E42">
            <w:pPr>
              <w:widowControl/>
              <w:jc w:val="left"/>
              <w:rPr>
                <w:rFonts w:ascii="宋体" w:hAnsi="宋体" w:cs="宋体"/>
                <w:color w:val="000000"/>
                <w:kern w:val="0"/>
                <w:sz w:val="16"/>
                <w:szCs w:val="16"/>
              </w:rPr>
            </w:pPr>
          </w:p>
        </w:tc>
        <w:tc>
          <w:tcPr>
            <w:tcW w:w="2148" w:type="dxa"/>
            <w:shd w:val="clear" w:color="auto" w:fill="auto"/>
            <w:vAlign w:val="center"/>
          </w:tcPr>
          <w:p w14:paraId="2BAD391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≥20%</w:t>
            </w:r>
          </w:p>
        </w:tc>
        <w:tc>
          <w:tcPr>
            <w:tcW w:w="456" w:type="dxa"/>
            <w:shd w:val="clear" w:color="auto" w:fill="auto"/>
            <w:vAlign w:val="center"/>
          </w:tcPr>
          <w:p w14:paraId="2F7318C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6D89FE01">
            <w:pPr>
              <w:widowControl/>
              <w:jc w:val="left"/>
              <w:rPr>
                <w:rFonts w:ascii="黑体" w:hAnsi="黑体" w:eastAsia="黑体" w:cs="宋体"/>
                <w:color w:val="000000"/>
                <w:kern w:val="0"/>
                <w:sz w:val="16"/>
                <w:szCs w:val="16"/>
              </w:rPr>
            </w:pPr>
          </w:p>
        </w:tc>
      </w:tr>
      <w:tr w14:paraId="537ACB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restart"/>
            <w:shd w:val="clear" w:color="auto" w:fill="auto"/>
            <w:noWrap/>
            <w:vAlign w:val="center"/>
          </w:tcPr>
          <w:p w14:paraId="41E27CAC">
            <w:pPr>
              <w:widowControl/>
              <w:jc w:val="center"/>
              <w:rPr>
                <w:rFonts w:ascii="等线" w:hAnsi="等线" w:eastAsia="等线" w:cs="宋体"/>
                <w:color w:val="000000"/>
                <w:kern w:val="0"/>
                <w:sz w:val="16"/>
                <w:szCs w:val="16"/>
              </w:rPr>
            </w:pPr>
            <w:r>
              <w:rPr>
                <w:rFonts w:ascii="等线" w:hAnsi="等线" w:eastAsia="等线" w:cs="宋体"/>
                <w:color w:val="000000"/>
                <w:kern w:val="0"/>
                <w:sz w:val="16"/>
                <w:szCs w:val="16"/>
              </w:rPr>
              <w:t>4</w:t>
            </w:r>
          </w:p>
        </w:tc>
        <w:tc>
          <w:tcPr>
            <w:tcW w:w="830" w:type="dxa"/>
            <w:vMerge w:val="restart"/>
            <w:shd w:val="clear" w:color="auto" w:fill="auto"/>
            <w:vAlign w:val="center"/>
          </w:tcPr>
          <w:p w14:paraId="28D59BC4">
            <w:pPr>
              <w:widowControl/>
              <w:jc w:val="center"/>
              <w:rPr>
                <w:rFonts w:ascii="宋体" w:hAnsi="宋体" w:cs="宋体"/>
                <w:color w:val="000000"/>
                <w:kern w:val="0"/>
                <w:sz w:val="16"/>
                <w:szCs w:val="16"/>
              </w:rPr>
            </w:pPr>
            <w:r>
              <w:rPr>
                <w:rFonts w:hint="eastAsia" w:ascii="宋体" w:hAnsi="宋体" w:cs="宋体"/>
                <w:color w:val="000000"/>
                <w:kern w:val="0"/>
                <w:sz w:val="16"/>
                <w:szCs w:val="16"/>
              </w:rPr>
              <w:t>基建安装</w:t>
            </w:r>
          </w:p>
        </w:tc>
        <w:tc>
          <w:tcPr>
            <w:tcW w:w="988" w:type="dxa"/>
            <w:vMerge w:val="restart"/>
            <w:shd w:val="clear" w:color="auto" w:fill="auto"/>
            <w:vAlign w:val="center"/>
          </w:tcPr>
          <w:p w14:paraId="25C57A68">
            <w:pPr>
              <w:widowControl/>
              <w:jc w:val="center"/>
              <w:rPr>
                <w:rFonts w:ascii="宋体" w:hAnsi="宋体" w:cs="宋体"/>
                <w:color w:val="000000"/>
                <w:kern w:val="0"/>
                <w:sz w:val="16"/>
                <w:szCs w:val="16"/>
              </w:rPr>
            </w:pPr>
            <w:r>
              <w:rPr>
                <w:rFonts w:hint="eastAsia" w:ascii="宋体" w:hAnsi="宋体" w:cs="宋体"/>
                <w:color w:val="000000"/>
                <w:kern w:val="0"/>
                <w:sz w:val="16"/>
                <w:szCs w:val="16"/>
              </w:rPr>
              <w:t>验收</w:t>
            </w:r>
          </w:p>
        </w:tc>
        <w:tc>
          <w:tcPr>
            <w:tcW w:w="1081" w:type="dxa"/>
            <w:vMerge w:val="restart"/>
            <w:shd w:val="clear" w:color="auto" w:fill="auto"/>
            <w:vAlign w:val="center"/>
          </w:tcPr>
          <w:p w14:paraId="23F5B735">
            <w:pPr>
              <w:widowControl/>
              <w:jc w:val="center"/>
              <w:rPr>
                <w:rFonts w:ascii="宋体" w:hAnsi="宋体" w:cs="宋体"/>
                <w:color w:val="000000"/>
                <w:kern w:val="0"/>
                <w:sz w:val="16"/>
                <w:szCs w:val="16"/>
              </w:rPr>
            </w:pPr>
            <w:r>
              <w:rPr>
                <w:rFonts w:hint="eastAsia" w:ascii="宋体" w:hAnsi="宋体" w:cs="宋体"/>
                <w:color w:val="000000"/>
                <w:kern w:val="0"/>
                <w:sz w:val="16"/>
                <w:szCs w:val="16"/>
              </w:rPr>
              <w:t>验收结果</w:t>
            </w:r>
          </w:p>
        </w:tc>
        <w:tc>
          <w:tcPr>
            <w:tcW w:w="1240" w:type="dxa"/>
            <w:vMerge w:val="restart"/>
            <w:shd w:val="clear" w:color="auto" w:fill="auto"/>
            <w:vAlign w:val="center"/>
          </w:tcPr>
          <w:p w14:paraId="24823469">
            <w:pPr>
              <w:widowControl/>
              <w:jc w:val="center"/>
              <w:rPr>
                <w:rFonts w:ascii="宋体" w:hAnsi="宋体" w:cs="宋体"/>
                <w:color w:val="000000"/>
                <w:kern w:val="0"/>
                <w:sz w:val="16"/>
                <w:szCs w:val="16"/>
              </w:rPr>
            </w:pPr>
            <w:r>
              <w:rPr>
                <w:rFonts w:hint="eastAsia" w:ascii="宋体" w:hAnsi="宋体" w:cs="宋体"/>
                <w:color w:val="000000"/>
                <w:kern w:val="0"/>
                <w:sz w:val="16"/>
                <w:szCs w:val="16"/>
              </w:rPr>
              <w:t>一次合格率</w:t>
            </w:r>
          </w:p>
        </w:tc>
        <w:tc>
          <w:tcPr>
            <w:tcW w:w="1036" w:type="dxa"/>
            <w:vMerge w:val="restart"/>
            <w:shd w:val="clear" w:color="auto" w:fill="auto"/>
            <w:vAlign w:val="center"/>
          </w:tcPr>
          <w:p w14:paraId="322176EA">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48DBAF85">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100%</w:t>
            </w:r>
          </w:p>
        </w:tc>
        <w:tc>
          <w:tcPr>
            <w:tcW w:w="456" w:type="dxa"/>
            <w:shd w:val="clear" w:color="000000" w:fill="D9D9D9"/>
            <w:vAlign w:val="center"/>
          </w:tcPr>
          <w:p w14:paraId="2EE96A38">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6</w:t>
            </w:r>
            <w:r>
              <w:rPr>
                <w:rFonts w:hint="eastAsia" w:ascii="黑体" w:hAnsi="黑体" w:eastAsia="黑体" w:cs="宋体"/>
                <w:color w:val="000000"/>
                <w:kern w:val="0"/>
                <w:sz w:val="16"/>
                <w:szCs w:val="16"/>
              </w:rPr>
              <w:t>0</w:t>
            </w:r>
          </w:p>
        </w:tc>
        <w:tc>
          <w:tcPr>
            <w:tcW w:w="1043" w:type="dxa"/>
            <w:gridSpan w:val="2"/>
            <w:vMerge w:val="restart"/>
            <w:shd w:val="clear" w:color="auto" w:fill="auto"/>
            <w:vAlign w:val="center"/>
          </w:tcPr>
          <w:p w14:paraId="4B9CA53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0-100</w:t>
            </w:r>
          </w:p>
        </w:tc>
      </w:tr>
      <w:tr w14:paraId="74C616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28D63C24">
            <w:pPr>
              <w:widowControl/>
              <w:jc w:val="left"/>
              <w:rPr>
                <w:rFonts w:ascii="等线" w:hAnsi="等线" w:eastAsia="等线" w:cs="宋体"/>
                <w:color w:val="000000"/>
                <w:kern w:val="0"/>
                <w:sz w:val="16"/>
                <w:szCs w:val="16"/>
              </w:rPr>
            </w:pPr>
          </w:p>
        </w:tc>
        <w:tc>
          <w:tcPr>
            <w:tcW w:w="830" w:type="dxa"/>
            <w:vMerge w:val="continue"/>
            <w:vAlign w:val="center"/>
          </w:tcPr>
          <w:p w14:paraId="3DCDEB86">
            <w:pPr>
              <w:widowControl/>
              <w:jc w:val="left"/>
              <w:rPr>
                <w:rFonts w:ascii="宋体" w:hAnsi="宋体" w:cs="宋体"/>
                <w:color w:val="000000"/>
                <w:kern w:val="0"/>
                <w:sz w:val="16"/>
                <w:szCs w:val="16"/>
              </w:rPr>
            </w:pPr>
          </w:p>
        </w:tc>
        <w:tc>
          <w:tcPr>
            <w:tcW w:w="988" w:type="dxa"/>
            <w:vMerge w:val="continue"/>
            <w:vAlign w:val="center"/>
          </w:tcPr>
          <w:p w14:paraId="1FD1413C">
            <w:pPr>
              <w:widowControl/>
              <w:jc w:val="left"/>
              <w:rPr>
                <w:rFonts w:ascii="宋体" w:hAnsi="宋体" w:cs="宋体"/>
                <w:color w:val="000000"/>
                <w:kern w:val="0"/>
                <w:sz w:val="16"/>
                <w:szCs w:val="16"/>
              </w:rPr>
            </w:pPr>
          </w:p>
        </w:tc>
        <w:tc>
          <w:tcPr>
            <w:tcW w:w="1081" w:type="dxa"/>
            <w:vMerge w:val="continue"/>
            <w:vAlign w:val="center"/>
          </w:tcPr>
          <w:p w14:paraId="39C04E33">
            <w:pPr>
              <w:widowControl/>
              <w:jc w:val="left"/>
              <w:rPr>
                <w:rFonts w:ascii="宋体" w:hAnsi="宋体" w:cs="宋体"/>
                <w:color w:val="000000"/>
                <w:kern w:val="0"/>
                <w:sz w:val="16"/>
                <w:szCs w:val="16"/>
              </w:rPr>
            </w:pPr>
          </w:p>
        </w:tc>
        <w:tc>
          <w:tcPr>
            <w:tcW w:w="1240" w:type="dxa"/>
            <w:vMerge w:val="continue"/>
            <w:vAlign w:val="center"/>
          </w:tcPr>
          <w:p w14:paraId="2184C53C">
            <w:pPr>
              <w:widowControl/>
              <w:jc w:val="left"/>
              <w:rPr>
                <w:rFonts w:ascii="宋体" w:hAnsi="宋体" w:cs="宋体"/>
                <w:color w:val="000000"/>
                <w:kern w:val="0"/>
                <w:sz w:val="16"/>
                <w:szCs w:val="16"/>
              </w:rPr>
            </w:pPr>
          </w:p>
        </w:tc>
        <w:tc>
          <w:tcPr>
            <w:tcW w:w="1036" w:type="dxa"/>
            <w:vMerge w:val="continue"/>
            <w:vAlign w:val="center"/>
          </w:tcPr>
          <w:p w14:paraId="7D8F45F1">
            <w:pPr>
              <w:widowControl/>
              <w:jc w:val="left"/>
              <w:rPr>
                <w:rFonts w:ascii="宋体" w:hAnsi="宋体" w:cs="宋体"/>
                <w:color w:val="000000"/>
                <w:kern w:val="0"/>
                <w:sz w:val="16"/>
                <w:szCs w:val="16"/>
              </w:rPr>
            </w:pPr>
          </w:p>
        </w:tc>
        <w:tc>
          <w:tcPr>
            <w:tcW w:w="2148" w:type="dxa"/>
            <w:shd w:val="clear" w:color="auto" w:fill="auto"/>
            <w:vAlign w:val="center"/>
          </w:tcPr>
          <w:p w14:paraId="7C7B22C3">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[90%，100%</w:t>
            </w:r>
            <w:r>
              <w:rPr>
                <w:rFonts w:ascii="宋体" w:hAnsi="宋体" w:cs="宋体"/>
                <w:color w:val="000000"/>
                <w:kern w:val="0"/>
                <w:sz w:val="16"/>
                <w:szCs w:val="16"/>
              </w:rPr>
              <w:t>)</w:t>
            </w:r>
          </w:p>
        </w:tc>
        <w:tc>
          <w:tcPr>
            <w:tcW w:w="456" w:type="dxa"/>
            <w:shd w:val="clear" w:color="auto" w:fill="auto"/>
            <w:vAlign w:val="center"/>
          </w:tcPr>
          <w:p w14:paraId="1AF1888E">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30</w:t>
            </w:r>
          </w:p>
        </w:tc>
        <w:tc>
          <w:tcPr>
            <w:tcW w:w="1043" w:type="dxa"/>
            <w:gridSpan w:val="2"/>
            <w:vMerge w:val="continue"/>
            <w:vAlign w:val="center"/>
          </w:tcPr>
          <w:p w14:paraId="3F1070D9">
            <w:pPr>
              <w:widowControl/>
              <w:jc w:val="left"/>
              <w:rPr>
                <w:rFonts w:ascii="黑体" w:hAnsi="黑体" w:eastAsia="黑体" w:cs="宋体"/>
                <w:color w:val="000000"/>
                <w:kern w:val="0"/>
                <w:sz w:val="16"/>
                <w:szCs w:val="16"/>
              </w:rPr>
            </w:pPr>
          </w:p>
        </w:tc>
      </w:tr>
      <w:tr w14:paraId="31CF59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6E614051">
            <w:pPr>
              <w:widowControl/>
              <w:jc w:val="left"/>
              <w:rPr>
                <w:rFonts w:ascii="等线" w:hAnsi="等线" w:eastAsia="等线" w:cs="宋体"/>
                <w:color w:val="000000"/>
                <w:kern w:val="0"/>
                <w:sz w:val="16"/>
                <w:szCs w:val="16"/>
              </w:rPr>
            </w:pPr>
          </w:p>
        </w:tc>
        <w:tc>
          <w:tcPr>
            <w:tcW w:w="830" w:type="dxa"/>
            <w:vMerge w:val="continue"/>
            <w:vAlign w:val="center"/>
          </w:tcPr>
          <w:p w14:paraId="23ED504C">
            <w:pPr>
              <w:widowControl/>
              <w:jc w:val="left"/>
              <w:rPr>
                <w:rFonts w:ascii="宋体" w:hAnsi="宋体" w:cs="宋体"/>
                <w:color w:val="000000"/>
                <w:kern w:val="0"/>
                <w:sz w:val="16"/>
                <w:szCs w:val="16"/>
              </w:rPr>
            </w:pPr>
          </w:p>
        </w:tc>
        <w:tc>
          <w:tcPr>
            <w:tcW w:w="988" w:type="dxa"/>
            <w:vMerge w:val="continue"/>
            <w:vAlign w:val="center"/>
          </w:tcPr>
          <w:p w14:paraId="622E4A99">
            <w:pPr>
              <w:widowControl/>
              <w:jc w:val="left"/>
              <w:rPr>
                <w:rFonts w:ascii="宋体" w:hAnsi="宋体" w:cs="宋体"/>
                <w:color w:val="000000"/>
                <w:kern w:val="0"/>
                <w:sz w:val="16"/>
                <w:szCs w:val="16"/>
              </w:rPr>
            </w:pPr>
          </w:p>
        </w:tc>
        <w:tc>
          <w:tcPr>
            <w:tcW w:w="1081" w:type="dxa"/>
            <w:vMerge w:val="continue"/>
            <w:vAlign w:val="center"/>
          </w:tcPr>
          <w:p w14:paraId="24F0CB5E">
            <w:pPr>
              <w:widowControl/>
              <w:jc w:val="left"/>
              <w:rPr>
                <w:rFonts w:ascii="宋体" w:hAnsi="宋体" w:cs="宋体"/>
                <w:color w:val="000000"/>
                <w:kern w:val="0"/>
                <w:sz w:val="16"/>
                <w:szCs w:val="16"/>
              </w:rPr>
            </w:pPr>
          </w:p>
        </w:tc>
        <w:tc>
          <w:tcPr>
            <w:tcW w:w="1240" w:type="dxa"/>
            <w:vMerge w:val="continue"/>
            <w:vAlign w:val="center"/>
          </w:tcPr>
          <w:p w14:paraId="44B68B52">
            <w:pPr>
              <w:widowControl/>
              <w:jc w:val="left"/>
              <w:rPr>
                <w:rFonts w:ascii="宋体" w:hAnsi="宋体" w:cs="宋体"/>
                <w:color w:val="000000"/>
                <w:kern w:val="0"/>
                <w:sz w:val="16"/>
                <w:szCs w:val="16"/>
              </w:rPr>
            </w:pPr>
          </w:p>
        </w:tc>
        <w:tc>
          <w:tcPr>
            <w:tcW w:w="1036" w:type="dxa"/>
            <w:vMerge w:val="continue"/>
            <w:vAlign w:val="center"/>
          </w:tcPr>
          <w:p w14:paraId="2A0BAF25">
            <w:pPr>
              <w:widowControl/>
              <w:jc w:val="left"/>
              <w:rPr>
                <w:rFonts w:ascii="宋体" w:hAnsi="宋体" w:cs="宋体"/>
                <w:color w:val="000000"/>
                <w:kern w:val="0"/>
                <w:sz w:val="16"/>
                <w:szCs w:val="16"/>
              </w:rPr>
            </w:pPr>
          </w:p>
        </w:tc>
        <w:tc>
          <w:tcPr>
            <w:tcW w:w="2148" w:type="dxa"/>
            <w:shd w:val="clear" w:color="auto" w:fill="auto"/>
            <w:vAlign w:val="center"/>
          </w:tcPr>
          <w:p w14:paraId="1D4AD69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[80%，90%)</w:t>
            </w:r>
          </w:p>
        </w:tc>
        <w:tc>
          <w:tcPr>
            <w:tcW w:w="456" w:type="dxa"/>
            <w:shd w:val="clear" w:color="auto" w:fill="auto"/>
            <w:vAlign w:val="center"/>
          </w:tcPr>
          <w:p w14:paraId="5B162E06">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20</w:t>
            </w:r>
          </w:p>
        </w:tc>
        <w:tc>
          <w:tcPr>
            <w:tcW w:w="1043" w:type="dxa"/>
            <w:gridSpan w:val="2"/>
            <w:vMerge w:val="continue"/>
            <w:vAlign w:val="center"/>
          </w:tcPr>
          <w:p w14:paraId="7CF0829A">
            <w:pPr>
              <w:widowControl/>
              <w:jc w:val="left"/>
              <w:rPr>
                <w:rFonts w:ascii="黑体" w:hAnsi="黑体" w:eastAsia="黑体" w:cs="宋体"/>
                <w:color w:val="000000"/>
                <w:kern w:val="0"/>
                <w:sz w:val="16"/>
                <w:szCs w:val="16"/>
              </w:rPr>
            </w:pPr>
          </w:p>
        </w:tc>
      </w:tr>
      <w:tr w14:paraId="2A9CAB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7AB36594">
            <w:pPr>
              <w:widowControl/>
              <w:jc w:val="left"/>
              <w:rPr>
                <w:rFonts w:ascii="等线" w:hAnsi="等线" w:eastAsia="等线" w:cs="宋体"/>
                <w:color w:val="000000"/>
                <w:kern w:val="0"/>
                <w:sz w:val="16"/>
                <w:szCs w:val="16"/>
              </w:rPr>
            </w:pPr>
          </w:p>
        </w:tc>
        <w:tc>
          <w:tcPr>
            <w:tcW w:w="830" w:type="dxa"/>
            <w:vMerge w:val="continue"/>
            <w:vAlign w:val="center"/>
          </w:tcPr>
          <w:p w14:paraId="4F4CD381">
            <w:pPr>
              <w:widowControl/>
              <w:jc w:val="left"/>
              <w:rPr>
                <w:rFonts w:ascii="宋体" w:hAnsi="宋体" w:cs="宋体"/>
                <w:color w:val="000000"/>
                <w:kern w:val="0"/>
                <w:sz w:val="16"/>
                <w:szCs w:val="16"/>
              </w:rPr>
            </w:pPr>
          </w:p>
        </w:tc>
        <w:tc>
          <w:tcPr>
            <w:tcW w:w="988" w:type="dxa"/>
            <w:vMerge w:val="continue"/>
            <w:vAlign w:val="center"/>
          </w:tcPr>
          <w:p w14:paraId="515AD5B4">
            <w:pPr>
              <w:widowControl/>
              <w:jc w:val="left"/>
              <w:rPr>
                <w:rFonts w:ascii="宋体" w:hAnsi="宋体" w:cs="宋体"/>
                <w:color w:val="000000"/>
                <w:kern w:val="0"/>
                <w:sz w:val="16"/>
                <w:szCs w:val="16"/>
              </w:rPr>
            </w:pPr>
          </w:p>
        </w:tc>
        <w:tc>
          <w:tcPr>
            <w:tcW w:w="1081" w:type="dxa"/>
            <w:vMerge w:val="continue"/>
            <w:vAlign w:val="center"/>
          </w:tcPr>
          <w:p w14:paraId="24C52C10">
            <w:pPr>
              <w:widowControl/>
              <w:jc w:val="left"/>
              <w:rPr>
                <w:rFonts w:ascii="宋体" w:hAnsi="宋体" w:cs="宋体"/>
                <w:color w:val="000000"/>
                <w:kern w:val="0"/>
                <w:sz w:val="16"/>
                <w:szCs w:val="16"/>
              </w:rPr>
            </w:pPr>
          </w:p>
        </w:tc>
        <w:tc>
          <w:tcPr>
            <w:tcW w:w="1240" w:type="dxa"/>
            <w:vMerge w:val="continue"/>
            <w:vAlign w:val="center"/>
          </w:tcPr>
          <w:p w14:paraId="3B383B34">
            <w:pPr>
              <w:widowControl/>
              <w:jc w:val="left"/>
              <w:rPr>
                <w:rFonts w:ascii="宋体" w:hAnsi="宋体" w:cs="宋体"/>
                <w:color w:val="000000"/>
                <w:kern w:val="0"/>
                <w:sz w:val="16"/>
                <w:szCs w:val="16"/>
              </w:rPr>
            </w:pPr>
          </w:p>
        </w:tc>
        <w:tc>
          <w:tcPr>
            <w:tcW w:w="1036" w:type="dxa"/>
            <w:vMerge w:val="continue"/>
            <w:vAlign w:val="center"/>
          </w:tcPr>
          <w:p w14:paraId="7744081D">
            <w:pPr>
              <w:widowControl/>
              <w:jc w:val="left"/>
              <w:rPr>
                <w:rFonts w:ascii="宋体" w:hAnsi="宋体" w:cs="宋体"/>
                <w:color w:val="000000"/>
                <w:kern w:val="0"/>
                <w:sz w:val="16"/>
                <w:szCs w:val="16"/>
              </w:rPr>
            </w:pPr>
          </w:p>
        </w:tc>
        <w:tc>
          <w:tcPr>
            <w:tcW w:w="2148" w:type="dxa"/>
            <w:shd w:val="clear" w:color="auto" w:fill="auto"/>
            <w:vAlign w:val="center"/>
          </w:tcPr>
          <w:p w14:paraId="07F832A8">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[70%，80%)</w:t>
            </w:r>
          </w:p>
        </w:tc>
        <w:tc>
          <w:tcPr>
            <w:tcW w:w="456" w:type="dxa"/>
            <w:shd w:val="clear" w:color="auto" w:fill="auto"/>
            <w:vAlign w:val="center"/>
          </w:tcPr>
          <w:p w14:paraId="57BBFCB8">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10</w:t>
            </w:r>
          </w:p>
        </w:tc>
        <w:tc>
          <w:tcPr>
            <w:tcW w:w="1043" w:type="dxa"/>
            <w:gridSpan w:val="2"/>
            <w:vMerge w:val="continue"/>
            <w:vAlign w:val="center"/>
          </w:tcPr>
          <w:p w14:paraId="61DB06B1">
            <w:pPr>
              <w:widowControl/>
              <w:jc w:val="left"/>
              <w:rPr>
                <w:rFonts w:ascii="黑体" w:hAnsi="黑体" w:eastAsia="黑体" w:cs="宋体"/>
                <w:color w:val="000000"/>
                <w:kern w:val="0"/>
                <w:sz w:val="16"/>
                <w:szCs w:val="16"/>
              </w:rPr>
            </w:pPr>
          </w:p>
        </w:tc>
      </w:tr>
      <w:tr w14:paraId="2E91F7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575B5AD4">
            <w:pPr>
              <w:widowControl/>
              <w:jc w:val="left"/>
              <w:rPr>
                <w:rFonts w:ascii="等线" w:hAnsi="等线" w:eastAsia="等线" w:cs="宋体"/>
                <w:color w:val="000000"/>
                <w:kern w:val="0"/>
                <w:sz w:val="16"/>
                <w:szCs w:val="16"/>
              </w:rPr>
            </w:pPr>
          </w:p>
        </w:tc>
        <w:tc>
          <w:tcPr>
            <w:tcW w:w="830" w:type="dxa"/>
            <w:vMerge w:val="continue"/>
            <w:vAlign w:val="center"/>
          </w:tcPr>
          <w:p w14:paraId="66B864EF">
            <w:pPr>
              <w:widowControl/>
              <w:jc w:val="left"/>
              <w:rPr>
                <w:rFonts w:ascii="宋体" w:hAnsi="宋体" w:cs="宋体"/>
                <w:color w:val="000000"/>
                <w:kern w:val="0"/>
                <w:sz w:val="16"/>
                <w:szCs w:val="16"/>
              </w:rPr>
            </w:pPr>
          </w:p>
        </w:tc>
        <w:tc>
          <w:tcPr>
            <w:tcW w:w="988" w:type="dxa"/>
            <w:vMerge w:val="continue"/>
            <w:vAlign w:val="center"/>
          </w:tcPr>
          <w:p w14:paraId="4B051092">
            <w:pPr>
              <w:widowControl/>
              <w:jc w:val="left"/>
              <w:rPr>
                <w:rFonts w:ascii="宋体" w:hAnsi="宋体" w:cs="宋体"/>
                <w:color w:val="000000"/>
                <w:kern w:val="0"/>
                <w:sz w:val="16"/>
                <w:szCs w:val="16"/>
              </w:rPr>
            </w:pPr>
          </w:p>
        </w:tc>
        <w:tc>
          <w:tcPr>
            <w:tcW w:w="1081" w:type="dxa"/>
            <w:vMerge w:val="continue"/>
            <w:vAlign w:val="center"/>
          </w:tcPr>
          <w:p w14:paraId="1C599286">
            <w:pPr>
              <w:widowControl/>
              <w:jc w:val="left"/>
              <w:rPr>
                <w:rFonts w:ascii="宋体" w:hAnsi="宋体" w:cs="宋体"/>
                <w:color w:val="000000"/>
                <w:kern w:val="0"/>
                <w:sz w:val="16"/>
                <w:szCs w:val="16"/>
              </w:rPr>
            </w:pPr>
          </w:p>
        </w:tc>
        <w:tc>
          <w:tcPr>
            <w:tcW w:w="1240" w:type="dxa"/>
            <w:vMerge w:val="continue"/>
            <w:vAlign w:val="center"/>
          </w:tcPr>
          <w:p w14:paraId="3356DE38">
            <w:pPr>
              <w:widowControl/>
              <w:jc w:val="left"/>
              <w:rPr>
                <w:rFonts w:ascii="宋体" w:hAnsi="宋体" w:cs="宋体"/>
                <w:color w:val="000000"/>
                <w:kern w:val="0"/>
                <w:sz w:val="16"/>
                <w:szCs w:val="16"/>
              </w:rPr>
            </w:pPr>
          </w:p>
        </w:tc>
        <w:tc>
          <w:tcPr>
            <w:tcW w:w="1036" w:type="dxa"/>
            <w:vMerge w:val="continue"/>
            <w:vAlign w:val="center"/>
          </w:tcPr>
          <w:p w14:paraId="2697E562">
            <w:pPr>
              <w:widowControl/>
              <w:jc w:val="left"/>
              <w:rPr>
                <w:rFonts w:ascii="宋体" w:hAnsi="宋体" w:cs="宋体"/>
                <w:color w:val="000000"/>
                <w:kern w:val="0"/>
                <w:sz w:val="16"/>
                <w:szCs w:val="16"/>
              </w:rPr>
            </w:pPr>
          </w:p>
        </w:tc>
        <w:tc>
          <w:tcPr>
            <w:tcW w:w="2148" w:type="dxa"/>
            <w:shd w:val="clear" w:color="auto" w:fill="auto"/>
            <w:vAlign w:val="center"/>
          </w:tcPr>
          <w:p w14:paraId="2C47AEAE">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＜70%</w:t>
            </w:r>
          </w:p>
        </w:tc>
        <w:tc>
          <w:tcPr>
            <w:tcW w:w="456" w:type="dxa"/>
            <w:shd w:val="clear" w:color="auto" w:fill="auto"/>
            <w:vAlign w:val="center"/>
          </w:tcPr>
          <w:p w14:paraId="55050707">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3CEB6BC3">
            <w:pPr>
              <w:widowControl/>
              <w:jc w:val="left"/>
              <w:rPr>
                <w:rFonts w:ascii="黑体" w:hAnsi="黑体" w:eastAsia="黑体" w:cs="宋体"/>
                <w:color w:val="000000"/>
                <w:kern w:val="0"/>
                <w:sz w:val="16"/>
                <w:szCs w:val="16"/>
              </w:rPr>
            </w:pPr>
          </w:p>
        </w:tc>
      </w:tr>
      <w:tr w14:paraId="3D10C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30E2E705">
            <w:pPr>
              <w:widowControl/>
              <w:jc w:val="left"/>
              <w:rPr>
                <w:rFonts w:ascii="等线" w:hAnsi="等线" w:eastAsia="等线" w:cs="宋体"/>
                <w:color w:val="000000"/>
                <w:kern w:val="0"/>
                <w:sz w:val="16"/>
                <w:szCs w:val="16"/>
              </w:rPr>
            </w:pPr>
          </w:p>
        </w:tc>
        <w:tc>
          <w:tcPr>
            <w:tcW w:w="830" w:type="dxa"/>
            <w:vMerge w:val="continue"/>
            <w:vAlign w:val="center"/>
          </w:tcPr>
          <w:p w14:paraId="0BC5834F">
            <w:pPr>
              <w:widowControl/>
              <w:jc w:val="left"/>
              <w:rPr>
                <w:rFonts w:ascii="宋体" w:hAnsi="宋体" w:cs="宋体"/>
                <w:color w:val="000000"/>
                <w:kern w:val="0"/>
                <w:sz w:val="16"/>
                <w:szCs w:val="16"/>
              </w:rPr>
            </w:pPr>
          </w:p>
        </w:tc>
        <w:tc>
          <w:tcPr>
            <w:tcW w:w="988" w:type="dxa"/>
            <w:vMerge w:val="restart"/>
            <w:shd w:val="clear" w:color="auto" w:fill="auto"/>
            <w:vAlign w:val="center"/>
          </w:tcPr>
          <w:p w14:paraId="334B3508">
            <w:pPr>
              <w:widowControl/>
              <w:jc w:val="center"/>
              <w:rPr>
                <w:rFonts w:ascii="宋体" w:hAnsi="宋体" w:cs="宋体"/>
                <w:color w:val="000000"/>
                <w:kern w:val="0"/>
                <w:sz w:val="16"/>
                <w:szCs w:val="16"/>
              </w:rPr>
            </w:pPr>
            <w:r>
              <w:rPr>
                <w:rFonts w:hint="eastAsia" w:ascii="宋体" w:hAnsi="宋体" w:cs="宋体"/>
                <w:color w:val="000000"/>
                <w:kern w:val="0"/>
                <w:sz w:val="16"/>
                <w:szCs w:val="16"/>
              </w:rPr>
              <w:t>安装过程</w:t>
            </w:r>
          </w:p>
        </w:tc>
        <w:tc>
          <w:tcPr>
            <w:tcW w:w="1081" w:type="dxa"/>
            <w:vMerge w:val="restart"/>
            <w:shd w:val="clear" w:color="auto" w:fill="auto"/>
            <w:vAlign w:val="center"/>
          </w:tcPr>
          <w:p w14:paraId="673E4ABF">
            <w:pPr>
              <w:widowControl/>
              <w:jc w:val="center"/>
              <w:rPr>
                <w:rFonts w:ascii="宋体" w:hAnsi="宋体" w:cs="宋体"/>
                <w:color w:val="000000"/>
                <w:kern w:val="0"/>
                <w:sz w:val="16"/>
                <w:szCs w:val="16"/>
              </w:rPr>
            </w:pPr>
            <w:r>
              <w:rPr>
                <w:rFonts w:hint="eastAsia" w:ascii="宋体" w:hAnsi="宋体" w:cs="宋体"/>
                <w:color w:val="000000"/>
                <w:kern w:val="0"/>
                <w:sz w:val="16"/>
                <w:szCs w:val="16"/>
              </w:rPr>
              <w:t>评价结果</w:t>
            </w:r>
          </w:p>
        </w:tc>
        <w:tc>
          <w:tcPr>
            <w:tcW w:w="1240" w:type="dxa"/>
            <w:vMerge w:val="restart"/>
            <w:shd w:val="clear" w:color="auto" w:fill="auto"/>
            <w:vAlign w:val="center"/>
          </w:tcPr>
          <w:p w14:paraId="5BC66F3B">
            <w:pPr>
              <w:widowControl/>
              <w:jc w:val="center"/>
              <w:rPr>
                <w:rFonts w:ascii="宋体" w:hAnsi="宋体" w:cs="宋体"/>
                <w:color w:val="000000"/>
                <w:kern w:val="0"/>
                <w:sz w:val="16"/>
                <w:szCs w:val="16"/>
              </w:rPr>
            </w:pPr>
            <w:r>
              <w:rPr>
                <w:rFonts w:hint="eastAsia" w:ascii="宋体" w:hAnsi="宋体" w:cs="宋体"/>
                <w:color w:val="000000"/>
                <w:kern w:val="0"/>
                <w:sz w:val="16"/>
                <w:szCs w:val="16"/>
              </w:rPr>
              <w:t>安装过程评价</w:t>
            </w:r>
          </w:p>
        </w:tc>
        <w:tc>
          <w:tcPr>
            <w:tcW w:w="1036" w:type="dxa"/>
            <w:vMerge w:val="restart"/>
            <w:shd w:val="clear" w:color="auto" w:fill="auto"/>
            <w:vAlign w:val="center"/>
          </w:tcPr>
          <w:p w14:paraId="66A60F36">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0BA27039">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符合安装技术要求，安装顺利、调试正常</w:t>
            </w:r>
          </w:p>
        </w:tc>
        <w:tc>
          <w:tcPr>
            <w:tcW w:w="456" w:type="dxa"/>
            <w:shd w:val="clear" w:color="000000" w:fill="D9D9D9"/>
            <w:vAlign w:val="center"/>
          </w:tcPr>
          <w:p w14:paraId="71B7F9DE">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4</w:t>
            </w:r>
            <w:r>
              <w:rPr>
                <w:rFonts w:hint="eastAsia" w:ascii="黑体" w:hAnsi="黑体" w:eastAsia="黑体" w:cs="宋体"/>
                <w:color w:val="000000"/>
                <w:kern w:val="0"/>
                <w:sz w:val="16"/>
                <w:szCs w:val="16"/>
              </w:rPr>
              <w:t>0</w:t>
            </w:r>
          </w:p>
        </w:tc>
        <w:tc>
          <w:tcPr>
            <w:tcW w:w="1043" w:type="dxa"/>
            <w:gridSpan w:val="2"/>
            <w:vMerge w:val="continue"/>
            <w:vAlign w:val="center"/>
          </w:tcPr>
          <w:p w14:paraId="39F9BE92">
            <w:pPr>
              <w:widowControl/>
              <w:jc w:val="left"/>
              <w:rPr>
                <w:rFonts w:ascii="黑体" w:hAnsi="黑体" w:eastAsia="黑体" w:cs="宋体"/>
                <w:color w:val="000000"/>
                <w:kern w:val="0"/>
                <w:sz w:val="16"/>
                <w:szCs w:val="16"/>
              </w:rPr>
            </w:pPr>
          </w:p>
        </w:tc>
      </w:tr>
      <w:tr w14:paraId="76103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481D39E4">
            <w:pPr>
              <w:widowControl/>
              <w:jc w:val="left"/>
              <w:rPr>
                <w:rFonts w:ascii="等线" w:hAnsi="等线" w:eastAsia="等线" w:cs="宋体"/>
                <w:color w:val="000000"/>
                <w:kern w:val="0"/>
                <w:sz w:val="16"/>
                <w:szCs w:val="16"/>
              </w:rPr>
            </w:pPr>
          </w:p>
        </w:tc>
        <w:tc>
          <w:tcPr>
            <w:tcW w:w="830" w:type="dxa"/>
            <w:vMerge w:val="continue"/>
            <w:vAlign w:val="center"/>
          </w:tcPr>
          <w:p w14:paraId="2442BD6A">
            <w:pPr>
              <w:widowControl/>
              <w:jc w:val="left"/>
              <w:rPr>
                <w:rFonts w:ascii="宋体" w:hAnsi="宋体" w:cs="宋体"/>
                <w:color w:val="000000"/>
                <w:kern w:val="0"/>
                <w:sz w:val="16"/>
                <w:szCs w:val="16"/>
              </w:rPr>
            </w:pPr>
          </w:p>
        </w:tc>
        <w:tc>
          <w:tcPr>
            <w:tcW w:w="988" w:type="dxa"/>
            <w:vMerge w:val="continue"/>
            <w:vAlign w:val="center"/>
          </w:tcPr>
          <w:p w14:paraId="2F696054">
            <w:pPr>
              <w:widowControl/>
              <w:jc w:val="left"/>
              <w:rPr>
                <w:rFonts w:ascii="宋体" w:hAnsi="宋体" w:cs="宋体"/>
                <w:color w:val="000000"/>
                <w:kern w:val="0"/>
                <w:sz w:val="16"/>
                <w:szCs w:val="16"/>
              </w:rPr>
            </w:pPr>
          </w:p>
        </w:tc>
        <w:tc>
          <w:tcPr>
            <w:tcW w:w="1081" w:type="dxa"/>
            <w:vMerge w:val="continue"/>
            <w:vAlign w:val="center"/>
          </w:tcPr>
          <w:p w14:paraId="78A141AA">
            <w:pPr>
              <w:widowControl/>
              <w:jc w:val="left"/>
              <w:rPr>
                <w:rFonts w:ascii="宋体" w:hAnsi="宋体" w:cs="宋体"/>
                <w:color w:val="000000"/>
                <w:kern w:val="0"/>
                <w:sz w:val="16"/>
                <w:szCs w:val="16"/>
              </w:rPr>
            </w:pPr>
          </w:p>
        </w:tc>
        <w:tc>
          <w:tcPr>
            <w:tcW w:w="1240" w:type="dxa"/>
            <w:vMerge w:val="continue"/>
            <w:vAlign w:val="center"/>
          </w:tcPr>
          <w:p w14:paraId="5D611E14">
            <w:pPr>
              <w:widowControl/>
              <w:jc w:val="left"/>
              <w:rPr>
                <w:rFonts w:ascii="宋体" w:hAnsi="宋体" w:cs="宋体"/>
                <w:color w:val="000000"/>
                <w:kern w:val="0"/>
                <w:sz w:val="16"/>
                <w:szCs w:val="16"/>
              </w:rPr>
            </w:pPr>
          </w:p>
        </w:tc>
        <w:tc>
          <w:tcPr>
            <w:tcW w:w="1036" w:type="dxa"/>
            <w:vMerge w:val="continue"/>
            <w:vAlign w:val="center"/>
          </w:tcPr>
          <w:p w14:paraId="71CBC0E6">
            <w:pPr>
              <w:widowControl/>
              <w:jc w:val="left"/>
              <w:rPr>
                <w:rFonts w:ascii="宋体" w:hAnsi="宋体" w:cs="宋体"/>
                <w:color w:val="000000"/>
                <w:kern w:val="0"/>
                <w:sz w:val="16"/>
                <w:szCs w:val="16"/>
              </w:rPr>
            </w:pPr>
          </w:p>
        </w:tc>
        <w:tc>
          <w:tcPr>
            <w:tcW w:w="2148" w:type="dxa"/>
            <w:shd w:val="clear" w:color="auto" w:fill="auto"/>
            <w:vAlign w:val="center"/>
          </w:tcPr>
          <w:p w14:paraId="30B43D6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符合安装技术要求，安装正常，调试出现异常</w:t>
            </w:r>
          </w:p>
        </w:tc>
        <w:tc>
          <w:tcPr>
            <w:tcW w:w="456" w:type="dxa"/>
            <w:shd w:val="clear" w:color="auto" w:fill="auto"/>
            <w:vAlign w:val="center"/>
          </w:tcPr>
          <w:p w14:paraId="0DA3759A">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20</w:t>
            </w:r>
          </w:p>
        </w:tc>
        <w:tc>
          <w:tcPr>
            <w:tcW w:w="1043" w:type="dxa"/>
            <w:gridSpan w:val="2"/>
            <w:vMerge w:val="continue"/>
            <w:vAlign w:val="center"/>
          </w:tcPr>
          <w:p w14:paraId="52E353BC">
            <w:pPr>
              <w:widowControl/>
              <w:jc w:val="left"/>
              <w:rPr>
                <w:rFonts w:ascii="黑体" w:hAnsi="黑体" w:eastAsia="黑体" w:cs="宋体"/>
                <w:color w:val="000000"/>
                <w:kern w:val="0"/>
                <w:sz w:val="16"/>
                <w:szCs w:val="16"/>
              </w:rPr>
            </w:pPr>
          </w:p>
        </w:tc>
      </w:tr>
      <w:tr w14:paraId="4DF925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66DC9B29">
            <w:pPr>
              <w:widowControl/>
              <w:jc w:val="left"/>
              <w:rPr>
                <w:rFonts w:ascii="等线" w:hAnsi="等线" w:eastAsia="等线" w:cs="宋体"/>
                <w:color w:val="000000"/>
                <w:kern w:val="0"/>
                <w:sz w:val="16"/>
                <w:szCs w:val="16"/>
              </w:rPr>
            </w:pPr>
          </w:p>
        </w:tc>
        <w:tc>
          <w:tcPr>
            <w:tcW w:w="830" w:type="dxa"/>
            <w:vMerge w:val="continue"/>
            <w:vAlign w:val="center"/>
          </w:tcPr>
          <w:p w14:paraId="38395454">
            <w:pPr>
              <w:widowControl/>
              <w:jc w:val="left"/>
              <w:rPr>
                <w:rFonts w:ascii="宋体" w:hAnsi="宋体" w:cs="宋体"/>
                <w:color w:val="000000"/>
                <w:kern w:val="0"/>
                <w:sz w:val="16"/>
                <w:szCs w:val="16"/>
              </w:rPr>
            </w:pPr>
          </w:p>
        </w:tc>
        <w:tc>
          <w:tcPr>
            <w:tcW w:w="988" w:type="dxa"/>
            <w:vMerge w:val="continue"/>
            <w:vAlign w:val="center"/>
          </w:tcPr>
          <w:p w14:paraId="0A64EB97">
            <w:pPr>
              <w:widowControl/>
              <w:jc w:val="left"/>
              <w:rPr>
                <w:rFonts w:ascii="宋体" w:hAnsi="宋体" w:cs="宋体"/>
                <w:color w:val="000000"/>
                <w:kern w:val="0"/>
                <w:sz w:val="16"/>
                <w:szCs w:val="16"/>
              </w:rPr>
            </w:pPr>
          </w:p>
        </w:tc>
        <w:tc>
          <w:tcPr>
            <w:tcW w:w="1081" w:type="dxa"/>
            <w:vMerge w:val="continue"/>
            <w:vAlign w:val="center"/>
          </w:tcPr>
          <w:p w14:paraId="5CAEC7DC">
            <w:pPr>
              <w:widowControl/>
              <w:jc w:val="left"/>
              <w:rPr>
                <w:rFonts w:ascii="宋体" w:hAnsi="宋体" w:cs="宋体"/>
                <w:color w:val="000000"/>
                <w:kern w:val="0"/>
                <w:sz w:val="16"/>
                <w:szCs w:val="16"/>
              </w:rPr>
            </w:pPr>
          </w:p>
        </w:tc>
        <w:tc>
          <w:tcPr>
            <w:tcW w:w="1240" w:type="dxa"/>
            <w:vMerge w:val="continue"/>
            <w:vAlign w:val="center"/>
          </w:tcPr>
          <w:p w14:paraId="3836321E">
            <w:pPr>
              <w:widowControl/>
              <w:jc w:val="left"/>
              <w:rPr>
                <w:rFonts w:ascii="宋体" w:hAnsi="宋体" w:cs="宋体"/>
                <w:color w:val="000000"/>
                <w:kern w:val="0"/>
                <w:sz w:val="16"/>
                <w:szCs w:val="16"/>
              </w:rPr>
            </w:pPr>
          </w:p>
        </w:tc>
        <w:tc>
          <w:tcPr>
            <w:tcW w:w="1036" w:type="dxa"/>
            <w:vMerge w:val="continue"/>
            <w:vAlign w:val="center"/>
          </w:tcPr>
          <w:p w14:paraId="122D71A8">
            <w:pPr>
              <w:widowControl/>
              <w:jc w:val="left"/>
              <w:rPr>
                <w:rFonts w:ascii="宋体" w:hAnsi="宋体" w:cs="宋体"/>
                <w:color w:val="000000"/>
                <w:kern w:val="0"/>
                <w:sz w:val="16"/>
                <w:szCs w:val="16"/>
              </w:rPr>
            </w:pPr>
          </w:p>
        </w:tc>
        <w:tc>
          <w:tcPr>
            <w:tcW w:w="2148" w:type="dxa"/>
            <w:shd w:val="clear" w:color="auto" w:fill="auto"/>
            <w:vAlign w:val="center"/>
          </w:tcPr>
          <w:p w14:paraId="746DFBD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符合安装技术要求，安装及调试均出现异常</w:t>
            </w:r>
          </w:p>
        </w:tc>
        <w:tc>
          <w:tcPr>
            <w:tcW w:w="456" w:type="dxa"/>
            <w:shd w:val="clear" w:color="auto" w:fill="auto"/>
            <w:vAlign w:val="center"/>
          </w:tcPr>
          <w:p w14:paraId="3A626D33">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10</w:t>
            </w:r>
          </w:p>
        </w:tc>
        <w:tc>
          <w:tcPr>
            <w:tcW w:w="1043" w:type="dxa"/>
            <w:gridSpan w:val="2"/>
            <w:vMerge w:val="continue"/>
            <w:vAlign w:val="center"/>
          </w:tcPr>
          <w:p w14:paraId="6D040322">
            <w:pPr>
              <w:widowControl/>
              <w:jc w:val="left"/>
              <w:rPr>
                <w:rFonts w:ascii="黑体" w:hAnsi="黑体" w:eastAsia="黑体" w:cs="宋体"/>
                <w:color w:val="000000"/>
                <w:kern w:val="0"/>
                <w:sz w:val="16"/>
                <w:szCs w:val="16"/>
              </w:rPr>
            </w:pPr>
          </w:p>
        </w:tc>
      </w:tr>
      <w:tr w14:paraId="0F050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6A299D32">
            <w:pPr>
              <w:widowControl/>
              <w:jc w:val="left"/>
              <w:rPr>
                <w:rFonts w:ascii="等线" w:hAnsi="等线" w:eastAsia="等线" w:cs="宋体"/>
                <w:color w:val="000000"/>
                <w:kern w:val="0"/>
                <w:sz w:val="16"/>
                <w:szCs w:val="16"/>
              </w:rPr>
            </w:pPr>
          </w:p>
        </w:tc>
        <w:tc>
          <w:tcPr>
            <w:tcW w:w="830" w:type="dxa"/>
            <w:vMerge w:val="continue"/>
            <w:vAlign w:val="center"/>
          </w:tcPr>
          <w:p w14:paraId="598089B0">
            <w:pPr>
              <w:widowControl/>
              <w:jc w:val="left"/>
              <w:rPr>
                <w:rFonts w:ascii="宋体" w:hAnsi="宋体" w:cs="宋体"/>
                <w:color w:val="000000"/>
                <w:kern w:val="0"/>
                <w:sz w:val="16"/>
                <w:szCs w:val="16"/>
              </w:rPr>
            </w:pPr>
          </w:p>
        </w:tc>
        <w:tc>
          <w:tcPr>
            <w:tcW w:w="988" w:type="dxa"/>
            <w:vMerge w:val="continue"/>
            <w:vAlign w:val="center"/>
          </w:tcPr>
          <w:p w14:paraId="332F0ED0">
            <w:pPr>
              <w:widowControl/>
              <w:jc w:val="left"/>
              <w:rPr>
                <w:rFonts w:ascii="宋体" w:hAnsi="宋体" w:cs="宋体"/>
                <w:color w:val="000000"/>
                <w:kern w:val="0"/>
                <w:sz w:val="16"/>
                <w:szCs w:val="16"/>
              </w:rPr>
            </w:pPr>
          </w:p>
        </w:tc>
        <w:tc>
          <w:tcPr>
            <w:tcW w:w="1081" w:type="dxa"/>
            <w:vMerge w:val="continue"/>
            <w:vAlign w:val="center"/>
          </w:tcPr>
          <w:p w14:paraId="2F580E4A">
            <w:pPr>
              <w:widowControl/>
              <w:jc w:val="left"/>
              <w:rPr>
                <w:rFonts w:ascii="宋体" w:hAnsi="宋体" w:cs="宋体"/>
                <w:color w:val="000000"/>
                <w:kern w:val="0"/>
                <w:sz w:val="16"/>
                <w:szCs w:val="16"/>
              </w:rPr>
            </w:pPr>
          </w:p>
        </w:tc>
        <w:tc>
          <w:tcPr>
            <w:tcW w:w="1240" w:type="dxa"/>
            <w:vMerge w:val="continue"/>
            <w:vAlign w:val="center"/>
          </w:tcPr>
          <w:p w14:paraId="602906B8">
            <w:pPr>
              <w:widowControl/>
              <w:jc w:val="left"/>
              <w:rPr>
                <w:rFonts w:ascii="宋体" w:hAnsi="宋体" w:cs="宋体"/>
                <w:color w:val="000000"/>
                <w:kern w:val="0"/>
                <w:sz w:val="16"/>
                <w:szCs w:val="16"/>
              </w:rPr>
            </w:pPr>
          </w:p>
        </w:tc>
        <w:tc>
          <w:tcPr>
            <w:tcW w:w="1036" w:type="dxa"/>
            <w:vMerge w:val="continue"/>
            <w:vAlign w:val="center"/>
          </w:tcPr>
          <w:p w14:paraId="20F3B8E2">
            <w:pPr>
              <w:widowControl/>
              <w:jc w:val="left"/>
              <w:rPr>
                <w:rFonts w:ascii="宋体" w:hAnsi="宋体" w:cs="宋体"/>
                <w:color w:val="000000"/>
                <w:kern w:val="0"/>
                <w:sz w:val="16"/>
                <w:szCs w:val="16"/>
              </w:rPr>
            </w:pPr>
          </w:p>
        </w:tc>
        <w:tc>
          <w:tcPr>
            <w:tcW w:w="2148" w:type="dxa"/>
            <w:shd w:val="clear" w:color="auto" w:fill="auto"/>
            <w:vAlign w:val="center"/>
          </w:tcPr>
          <w:p w14:paraId="4108692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符合安装技术要求，安装及调试均出现异常</w:t>
            </w:r>
          </w:p>
        </w:tc>
        <w:tc>
          <w:tcPr>
            <w:tcW w:w="456" w:type="dxa"/>
            <w:shd w:val="clear" w:color="auto" w:fill="auto"/>
            <w:vAlign w:val="center"/>
          </w:tcPr>
          <w:p w14:paraId="7AB5E536">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2F273ABC">
            <w:pPr>
              <w:widowControl/>
              <w:jc w:val="left"/>
              <w:rPr>
                <w:rFonts w:ascii="黑体" w:hAnsi="黑体" w:eastAsia="黑体" w:cs="宋体"/>
                <w:color w:val="000000"/>
                <w:kern w:val="0"/>
                <w:sz w:val="16"/>
                <w:szCs w:val="16"/>
              </w:rPr>
            </w:pPr>
          </w:p>
        </w:tc>
      </w:tr>
      <w:tr w14:paraId="088371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4F6AE02F">
            <w:pPr>
              <w:widowControl/>
              <w:jc w:val="left"/>
              <w:rPr>
                <w:rFonts w:ascii="等线" w:hAnsi="等线" w:eastAsia="等线" w:cs="宋体"/>
                <w:color w:val="000000"/>
                <w:kern w:val="0"/>
                <w:sz w:val="16"/>
                <w:szCs w:val="16"/>
              </w:rPr>
            </w:pPr>
          </w:p>
        </w:tc>
        <w:tc>
          <w:tcPr>
            <w:tcW w:w="830" w:type="dxa"/>
            <w:vMerge w:val="continue"/>
            <w:vAlign w:val="center"/>
          </w:tcPr>
          <w:p w14:paraId="52273B79">
            <w:pPr>
              <w:widowControl/>
              <w:jc w:val="left"/>
              <w:rPr>
                <w:rFonts w:ascii="宋体" w:hAnsi="宋体" w:cs="宋体"/>
                <w:color w:val="000000"/>
                <w:kern w:val="0"/>
                <w:sz w:val="16"/>
                <w:szCs w:val="16"/>
              </w:rPr>
            </w:pPr>
          </w:p>
        </w:tc>
        <w:tc>
          <w:tcPr>
            <w:tcW w:w="988" w:type="dxa"/>
            <w:vMerge w:val="continue"/>
            <w:vAlign w:val="center"/>
          </w:tcPr>
          <w:p w14:paraId="462166FA">
            <w:pPr>
              <w:widowControl/>
              <w:jc w:val="left"/>
              <w:rPr>
                <w:rFonts w:ascii="宋体" w:hAnsi="宋体" w:cs="宋体"/>
                <w:color w:val="000000"/>
                <w:kern w:val="0"/>
                <w:sz w:val="16"/>
                <w:szCs w:val="16"/>
              </w:rPr>
            </w:pPr>
          </w:p>
        </w:tc>
        <w:tc>
          <w:tcPr>
            <w:tcW w:w="1081" w:type="dxa"/>
            <w:vMerge w:val="continue"/>
            <w:vAlign w:val="center"/>
          </w:tcPr>
          <w:p w14:paraId="0A784C61">
            <w:pPr>
              <w:widowControl/>
              <w:jc w:val="left"/>
              <w:rPr>
                <w:rFonts w:ascii="宋体" w:hAnsi="宋体" w:cs="宋体"/>
                <w:color w:val="000000"/>
                <w:kern w:val="0"/>
                <w:sz w:val="16"/>
                <w:szCs w:val="16"/>
              </w:rPr>
            </w:pPr>
          </w:p>
        </w:tc>
        <w:tc>
          <w:tcPr>
            <w:tcW w:w="1240" w:type="dxa"/>
            <w:vMerge w:val="continue"/>
            <w:vAlign w:val="center"/>
          </w:tcPr>
          <w:p w14:paraId="4416EA9F">
            <w:pPr>
              <w:widowControl/>
              <w:jc w:val="left"/>
              <w:rPr>
                <w:rFonts w:ascii="宋体" w:hAnsi="宋体" w:cs="宋体"/>
                <w:color w:val="000000"/>
                <w:kern w:val="0"/>
                <w:sz w:val="16"/>
                <w:szCs w:val="16"/>
              </w:rPr>
            </w:pPr>
          </w:p>
        </w:tc>
        <w:tc>
          <w:tcPr>
            <w:tcW w:w="1036" w:type="dxa"/>
            <w:vMerge w:val="continue"/>
            <w:vAlign w:val="center"/>
          </w:tcPr>
          <w:p w14:paraId="3E33B73E">
            <w:pPr>
              <w:widowControl/>
              <w:jc w:val="left"/>
              <w:rPr>
                <w:rFonts w:ascii="宋体" w:hAnsi="宋体" w:cs="宋体"/>
                <w:color w:val="000000"/>
                <w:kern w:val="0"/>
                <w:sz w:val="16"/>
                <w:szCs w:val="16"/>
              </w:rPr>
            </w:pPr>
          </w:p>
        </w:tc>
        <w:tc>
          <w:tcPr>
            <w:tcW w:w="2148" w:type="dxa"/>
            <w:shd w:val="clear" w:color="auto" w:fill="auto"/>
            <w:vAlign w:val="center"/>
          </w:tcPr>
          <w:p w14:paraId="6109AB6D">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不符合安装技术要求或安装及调试均存在缺陷</w:t>
            </w:r>
          </w:p>
        </w:tc>
        <w:tc>
          <w:tcPr>
            <w:tcW w:w="456" w:type="dxa"/>
            <w:shd w:val="clear" w:color="auto" w:fill="auto"/>
            <w:vAlign w:val="center"/>
          </w:tcPr>
          <w:p w14:paraId="4B024FA3">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32B5EE4B">
            <w:pPr>
              <w:widowControl/>
              <w:jc w:val="left"/>
              <w:rPr>
                <w:rFonts w:ascii="黑体" w:hAnsi="黑体" w:eastAsia="黑体" w:cs="宋体"/>
                <w:color w:val="000000"/>
                <w:kern w:val="0"/>
                <w:sz w:val="16"/>
                <w:szCs w:val="16"/>
              </w:rPr>
            </w:pPr>
          </w:p>
        </w:tc>
      </w:tr>
      <w:tr w14:paraId="739002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0" w:type="dxa"/>
            <w:vMerge w:val="restart"/>
            <w:shd w:val="clear" w:color="auto" w:fill="auto"/>
            <w:noWrap/>
            <w:vAlign w:val="center"/>
          </w:tcPr>
          <w:p w14:paraId="35954708">
            <w:pPr>
              <w:widowControl/>
              <w:jc w:val="center"/>
              <w:rPr>
                <w:rFonts w:ascii="等线" w:hAnsi="等线" w:eastAsia="等线" w:cs="宋体"/>
                <w:color w:val="000000"/>
                <w:kern w:val="0"/>
                <w:sz w:val="16"/>
                <w:szCs w:val="16"/>
              </w:rPr>
            </w:pPr>
            <w:bookmarkStart w:id="50" w:name="_Hlk109165579"/>
            <w:r>
              <w:rPr>
                <w:rFonts w:hint="eastAsia" w:ascii="等线" w:hAnsi="等线" w:eastAsia="等线" w:cs="宋体"/>
                <w:color w:val="000000"/>
                <w:kern w:val="0"/>
                <w:sz w:val="16"/>
                <w:szCs w:val="16"/>
              </w:rPr>
              <w:t>5　</w:t>
            </w:r>
          </w:p>
        </w:tc>
        <w:tc>
          <w:tcPr>
            <w:tcW w:w="830" w:type="dxa"/>
            <w:vMerge w:val="restart"/>
            <w:shd w:val="clear" w:color="auto" w:fill="auto"/>
            <w:vAlign w:val="center"/>
          </w:tcPr>
          <w:p w14:paraId="3AD2DE0A">
            <w:pPr>
              <w:widowControl/>
              <w:jc w:val="center"/>
              <w:rPr>
                <w:rFonts w:ascii="宋体" w:hAnsi="宋体" w:cs="宋体"/>
                <w:color w:val="000000"/>
                <w:kern w:val="0"/>
                <w:sz w:val="16"/>
                <w:szCs w:val="16"/>
              </w:rPr>
            </w:pPr>
            <w:r>
              <w:rPr>
                <w:rFonts w:hint="eastAsia" w:ascii="宋体" w:hAnsi="宋体" w:cs="宋体"/>
                <w:color w:val="000000"/>
                <w:kern w:val="0"/>
                <w:sz w:val="16"/>
                <w:szCs w:val="16"/>
              </w:rPr>
              <w:t>供应商资质能力</w:t>
            </w:r>
          </w:p>
        </w:tc>
        <w:tc>
          <w:tcPr>
            <w:tcW w:w="988" w:type="dxa"/>
            <w:vMerge w:val="restart"/>
            <w:shd w:val="clear" w:color="auto" w:fill="auto"/>
            <w:vAlign w:val="center"/>
          </w:tcPr>
          <w:p w14:paraId="469D0132">
            <w:pPr>
              <w:widowControl/>
              <w:jc w:val="center"/>
              <w:rPr>
                <w:rFonts w:ascii="宋体" w:hAnsi="宋体" w:cs="宋体"/>
                <w:color w:val="000000"/>
                <w:kern w:val="0"/>
                <w:sz w:val="16"/>
                <w:szCs w:val="16"/>
              </w:rPr>
            </w:pPr>
            <w:r>
              <w:rPr>
                <w:rFonts w:hint="eastAsia" w:ascii="宋体" w:hAnsi="宋体" w:cs="宋体"/>
                <w:color w:val="000000"/>
                <w:kern w:val="0"/>
                <w:sz w:val="16"/>
                <w:szCs w:val="16"/>
              </w:rPr>
              <w:t>技术能力</w:t>
            </w:r>
          </w:p>
        </w:tc>
        <w:tc>
          <w:tcPr>
            <w:tcW w:w="1081" w:type="dxa"/>
            <w:vMerge w:val="restart"/>
            <w:shd w:val="clear" w:color="auto" w:fill="auto"/>
            <w:vAlign w:val="center"/>
          </w:tcPr>
          <w:p w14:paraId="1043B3A8">
            <w:pPr>
              <w:widowControl/>
              <w:jc w:val="center"/>
              <w:rPr>
                <w:rFonts w:ascii="宋体" w:hAnsi="宋体" w:cs="宋体"/>
                <w:color w:val="000000"/>
                <w:kern w:val="0"/>
                <w:sz w:val="16"/>
                <w:szCs w:val="16"/>
              </w:rPr>
            </w:pPr>
            <w:r>
              <w:rPr>
                <w:rFonts w:hint="eastAsia" w:ascii="宋体" w:hAnsi="宋体" w:cs="宋体"/>
                <w:color w:val="000000"/>
                <w:kern w:val="0"/>
                <w:sz w:val="16"/>
                <w:szCs w:val="16"/>
              </w:rPr>
              <w:t>技术人员</w:t>
            </w:r>
          </w:p>
        </w:tc>
        <w:tc>
          <w:tcPr>
            <w:tcW w:w="1240" w:type="dxa"/>
            <w:vMerge w:val="restart"/>
            <w:shd w:val="clear" w:color="auto" w:fill="auto"/>
            <w:vAlign w:val="center"/>
          </w:tcPr>
          <w:p w14:paraId="104FFB5E">
            <w:pPr>
              <w:widowControl/>
              <w:jc w:val="center"/>
              <w:rPr>
                <w:rFonts w:ascii="宋体" w:hAnsi="宋体" w:cs="宋体"/>
                <w:color w:val="000000"/>
                <w:kern w:val="0"/>
                <w:sz w:val="16"/>
                <w:szCs w:val="16"/>
              </w:rPr>
            </w:pPr>
            <w:r>
              <w:rPr>
                <w:rFonts w:hint="eastAsia" w:ascii="宋体" w:hAnsi="宋体" w:cs="宋体"/>
                <w:color w:val="000000"/>
                <w:kern w:val="0"/>
                <w:sz w:val="16"/>
                <w:szCs w:val="16"/>
              </w:rPr>
              <w:t>技术人员占比</w:t>
            </w:r>
          </w:p>
        </w:tc>
        <w:tc>
          <w:tcPr>
            <w:tcW w:w="1036" w:type="dxa"/>
            <w:vMerge w:val="restart"/>
            <w:shd w:val="clear" w:color="auto" w:fill="auto"/>
            <w:vAlign w:val="center"/>
          </w:tcPr>
          <w:p w14:paraId="676AF5A0">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0D5DE8F9">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≥15%或人数≥40人</w:t>
            </w:r>
          </w:p>
        </w:tc>
        <w:tc>
          <w:tcPr>
            <w:tcW w:w="456" w:type="dxa"/>
            <w:shd w:val="clear" w:color="000000" w:fill="D9D9D9"/>
            <w:vAlign w:val="center"/>
          </w:tcPr>
          <w:p w14:paraId="66BF56DF">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restart"/>
            <w:shd w:val="clear" w:color="auto" w:fill="auto"/>
            <w:noWrap/>
            <w:vAlign w:val="center"/>
          </w:tcPr>
          <w:p w14:paraId="55748E9D">
            <w:pPr>
              <w:widowControl/>
              <w:jc w:val="center"/>
              <w:rPr>
                <w:rFonts w:ascii="等线" w:hAnsi="等线" w:eastAsia="等线" w:cs="宋体"/>
                <w:color w:val="000000"/>
                <w:kern w:val="0"/>
                <w:sz w:val="16"/>
                <w:szCs w:val="16"/>
              </w:rPr>
            </w:pPr>
            <w:r>
              <w:rPr>
                <w:rFonts w:hint="eastAsia" w:ascii="等线" w:hAnsi="等线" w:eastAsia="等线" w:cs="宋体"/>
                <w:color w:val="000000"/>
                <w:kern w:val="0"/>
                <w:sz w:val="16"/>
                <w:szCs w:val="16"/>
              </w:rPr>
              <w:t>0-100</w:t>
            </w:r>
          </w:p>
        </w:tc>
      </w:tr>
      <w:tr w14:paraId="7E19E2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80" w:type="dxa"/>
            <w:vMerge w:val="continue"/>
            <w:vAlign w:val="center"/>
          </w:tcPr>
          <w:p w14:paraId="76BF2CDE">
            <w:pPr>
              <w:widowControl/>
              <w:jc w:val="left"/>
              <w:rPr>
                <w:rFonts w:ascii="等线" w:hAnsi="等线" w:eastAsia="等线" w:cs="宋体"/>
                <w:color w:val="000000"/>
                <w:kern w:val="0"/>
                <w:sz w:val="16"/>
                <w:szCs w:val="16"/>
              </w:rPr>
            </w:pPr>
          </w:p>
        </w:tc>
        <w:tc>
          <w:tcPr>
            <w:tcW w:w="830" w:type="dxa"/>
            <w:vMerge w:val="continue"/>
            <w:vAlign w:val="center"/>
          </w:tcPr>
          <w:p w14:paraId="1F2949D8">
            <w:pPr>
              <w:widowControl/>
              <w:jc w:val="left"/>
              <w:rPr>
                <w:rFonts w:ascii="宋体" w:hAnsi="宋体" w:cs="宋体"/>
                <w:color w:val="000000"/>
                <w:kern w:val="0"/>
                <w:sz w:val="16"/>
                <w:szCs w:val="16"/>
              </w:rPr>
            </w:pPr>
          </w:p>
        </w:tc>
        <w:tc>
          <w:tcPr>
            <w:tcW w:w="988" w:type="dxa"/>
            <w:vMerge w:val="continue"/>
            <w:vAlign w:val="center"/>
          </w:tcPr>
          <w:p w14:paraId="0E02AD6D">
            <w:pPr>
              <w:widowControl/>
              <w:jc w:val="left"/>
              <w:rPr>
                <w:rFonts w:ascii="宋体" w:hAnsi="宋体" w:cs="宋体"/>
                <w:color w:val="000000"/>
                <w:kern w:val="0"/>
                <w:sz w:val="16"/>
                <w:szCs w:val="16"/>
              </w:rPr>
            </w:pPr>
          </w:p>
        </w:tc>
        <w:tc>
          <w:tcPr>
            <w:tcW w:w="1081" w:type="dxa"/>
            <w:vMerge w:val="continue"/>
            <w:vAlign w:val="center"/>
          </w:tcPr>
          <w:p w14:paraId="17C3ECCA">
            <w:pPr>
              <w:widowControl/>
              <w:jc w:val="left"/>
              <w:rPr>
                <w:rFonts w:ascii="宋体" w:hAnsi="宋体" w:cs="宋体"/>
                <w:color w:val="000000"/>
                <w:kern w:val="0"/>
                <w:sz w:val="16"/>
                <w:szCs w:val="16"/>
              </w:rPr>
            </w:pPr>
          </w:p>
        </w:tc>
        <w:tc>
          <w:tcPr>
            <w:tcW w:w="1240" w:type="dxa"/>
            <w:vMerge w:val="continue"/>
            <w:vAlign w:val="center"/>
          </w:tcPr>
          <w:p w14:paraId="525FD214">
            <w:pPr>
              <w:widowControl/>
              <w:jc w:val="left"/>
              <w:rPr>
                <w:rFonts w:ascii="宋体" w:hAnsi="宋体" w:cs="宋体"/>
                <w:color w:val="000000"/>
                <w:kern w:val="0"/>
                <w:sz w:val="16"/>
                <w:szCs w:val="16"/>
              </w:rPr>
            </w:pPr>
          </w:p>
        </w:tc>
        <w:tc>
          <w:tcPr>
            <w:tcW w:w="1036" w:type="dxa"/>
            <w:vMerge w:val="continue"/>
            <w:vAlign w:val="center"/>
          </w:tcPr>
          <w:p w14:paraId="410B3B28">
            <w:pPr>
              <w:widowControl/>
              <w:jc w:val="left"/>
              <w:rPr>
                <w:rFonts w:ascii="宋体" w:hAnsi="宋体" w:cs="宋体"/>
                <w:color w:val="000000"/>
                <w:kern w:val="0"/>
                <w:sz w:val="16"/>
                <w:szCs w:val="16"/>
              </w:rPr>
            </w:pPr>
          </w:p>
        </w:tc>
        <w:tc>
          <w:tcPr>
            <w:tcW w:w="2148" w:type="dxa"/>
            <w:shd w:val="clear" w:color="auto" w:fill="auto"/>
            <w:vAlign w:val="center"/>
          </w:tcPr>
          <w:p w14:paraId="66E94AF7">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[10%，15%</w:t>
            </w:r>
            <w:r>
              <w:rPr>
                <w:rFonts w:ascii="宋体" w:hAnsi="宋体" w:cs="宋体"/>
                <w:color w:val="000000"/>
                <w:kern w:val="0"/>
                <w:sz w:val="16"/>
                <w:szCs w:val="16"/>
              </w:rPr>
              <w:t>)</w:t>
            </w:r>
            <w:r>
              <w:rPr>
                <w:rFonts w:hint="eastAsia" w:ascii="宋体" w:hAnsi="宋体" w:cs="宋体"/>
                <w:color w:val="000000"/>
                <w:kern w:val="0"/>
                <w:sz w:val="16"/>
                <w:szCs w:val="16"/>
              </w:rPr>
              <w:t>或</w:t>
            </w:r>
            <w:r>
              <w:rPr>
                <w:rFonts w:hint="eastAsia" w:ascii="宋体" w:hAnsi="宋体" w:cs="宋体"/>
                <w:color w:val="000000"/>
                <w:kern w:val="0"/>
                <w:sz w:val="16"/>
                <w:szCs w:val="16"/>
              </w:rPr>
              <w:br w:type="textWrapping"/>
            </w:r>
            <w:r>
              <w:rPr>
                <w:rFonts w:hint="eastAsia" w:ascii="宋体" w:hAnsi="宋体" w:cs="宋体"/>
                <w:color w:val="000000"/>
                <w:kern w:val="0"/>
                <w:sz w:val="16"/>
                <w:szCs w:val="16"/>
              </w:rPr>
              <w:t>人数[25,40)人</w:t>
            </w:r>
          </w:p>
        </w:tc>
        <w:tc>
          <w:tcPr>
            <w:tcW w:w="456" w:type="dxa"/>
            <w:shd w:val="clear" w:color="auto" w:fill="auto"/>
            <w:vAlign w:val="center"/>
          </w:tcPr>
          <w:p w14:paraId="1EEDD2FA">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w:t>
            </w:r>
          </w:p>
        </w:tc>
        <w:tc>
          <w:tcPr>
            <w:tcW w:w="1043" w:type="dxa"/>
            <w:gridSpan w:val="2"/>
            <w:vMerge w:val="continue"/>
            <w:vAlign w:val="center"/>
          </w:tcPr>
          <w:p w14:paraId="24C39438">
            <w:pPr>
              <w:widowControl/>
              <w:jc w:val="left"/>
              <w:rPr>
                <w:rFonts w:ascii="等线" w:hAnsi="等线" w:eastAsia="等线" w:cs="宋体"/>
                <w:color w:val="000000"/>
                <w:kern w:val="0"/>
                <w:sz w:val="16"/>
                <w:szCs w:val="16"/>
              </w:rPr>
            </w:pPr>
          </w:p>
        </w:tc>
      </w:tr>
      <w:tr w14:paraId="3C8FF1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42072DF8">
            <w:pPr>
              <w:widowControl/>
              <w:jc w:val="left"/>
              <w:rPr>
                <w:rFonts w:ascii="等线" w:hAnsi="等线" w:eastAsia="等线" w:cs="宋体"/>
                <w:color w:val="000000"/>
                <w:kern w:val="0"/>
                <w:sz w:val="16"/>
                <w:szCs w:val="16"/>
              </w:rPr>
            </w:pPr>
          </w:p>
        </w:tc>
        <w:tc>
          <w:tcPr>
            <w:tcW w:w="830" w:type="dxa"/>
            <w:vMerge w:val="continue"/>
            <w:vAlign w:val="center"/>
          </w:tcPr>
          <w:p w14:paraId="287B578A">
            <w:pPr>
              <w:widowControl/>
              <w:jc w:val="left"/>
              <w:rPr>
                <w:rFonts w:ascii="宋体" w:hAnsi="宋体" w:cs="宋体"/>
                <w:color w:val="000000"/>
                <w:kern w:val="0"/>
                <w:sz w:val="16"/>
                <w:szCs w:val="16"/>
              </w:rPr>
            </w:pPr>
          </w:p>
        </w:tc>
        <w:tc>
          <w:tcPr>
            <w:tcW w:w="988" w:type="dxa"/>
            <w:vMerge w:val="continue"/>
            <w:vAlign w:val="center"/>
          </w:tcPr>
          <w:p w14:paraId="1EDA17CF">
            <w:pPr>
              <w:widowControl/>
              <w:jc w:val="left"/>
              <w:rPr>
                <w:rFonts w:ascii="宋体" w:hAnsi="宋体" w:cs="宋体"/>
                <w:color w:val="000000"/>
                <w:kern w:val="0"/>
                <w:sz w:val="16"/>
                <w:szCs w:val="16"/>
              </w:rPr>
            </w:pPr>
          </w:p>
        </w:tc>
        <w:tc>
          <w:tcPr>
            <w:tcW w:w="1081" w:type="dxa"/>
            <w:vMerge w:val="continue"/>
            <w:vAlign w:val="center"/>
          </w:tcPr>
          <w:p w14:paraId="2FD02F66">
            <w:pPr>
              <w:widowControl/>
              <w:jc w:val="left"/>
              <w:rPr>
                <w:rFonts w:ascii="宋体" w:hAnsi="宋体" w:cs="宋体"/>
                <w:color w:val="000000"/>
                <w:kern w:val="0"/>
                <w:sz w:val="16"/>
                <w:szCs w:val="16"/>
              </w:rPr>
            </w:pPr>
          </w:p>
        </w:tc>
        <w:tc>
          <w:tcPr>
            <w:tcW w:w="1240" w:type="dxa"/>
            <w:vMerge w:val="continue"/>
            <w:vAlign w:val="center"/>
          </w:tcPr>
          <w:p w14:paraId="60B735AB">
            <w:pPr>
              <w:widowControl/>
              <w:jc w:val="left"/>
              <w:rPr>
                <w:rFonts w:ascii="宋体" w:hAnsi="宋体" w:cs="宋体"/>
                <w:color w:val="000000"/>
                <w:kern w:val="0"/>
                <w:sz w:val="16"/>
                <w:szCs w:val="16"/>
              </w:rPr>
            </w:pPr>
          </w:p>
        </w:tc>
        <w:tc>
          <w:tcPr>
            <w:tcW w:w="1036" w:type="dxa"/>
            <w:vMerge w:val="continue"/>
            <w:vAlign w:val="center"/>
          </w:tcPr>
          <w:p w14:paraId="6F92C440">
            <w:pPr>
              <w:widowControl/>
              <w:jc w:val="left"/>
              <w:rPr>
                <w:rFonts w:ascii="宋体" w:hAnsi="宋体" w:cs="宋体"/>
                <w:color w:val="000000"/>
                <w:kern w:val="0"/>
                <w:sz w:val="16"/>
                <w:szCs w:val="16"/>
              </w:rPr>
            </w:pPr>
          </w:p>
        </w:tc>
        <w:tc>
          <w:tcPr>
            <w:tcW w:w="2148" w:type="dxa"/>
            <w:shd w:val="clear" w:color="auto" w:fill="auto"/>
            <w:vAlign w:val="center"/>
          </w:tcPr>
          <w:p w14:paraId="6C7FB100">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[8%，10%)或</w:t>
            </w:r>
            <w:r>
              <w:rPr>
                <w:rFonts w:hint="eastAsia" w:ascii="宋体" w:hAnsi="宋体" w:cs="宋体"/>
                <w:color w:val="000000"/>
                <w:kern w:val="0"/>
                <w:sz w:val="16"/>
                <w:szCs w:val="16"/>
              </w:rPr>
              <w:br w:type="textWrapping"/>
            </w:r>
            <w:r>
              <w:rPr>
                <w:rFonts w:hint="eastAsia" w:ascii="宋体" w:hAnsi="宋体" w:cs="宋体"/>
                <w:color w:val="000000"/>
                <w:kern w:val="0"/>
                <w:sz w:val="16"/>
                <w:szCs w:val="16"/>
              </w:rPr>
              <w:t>人数[15,25)人</w:t>
            </w:r>
          </w:p>
        </w:tc>
        <w:tc>
          <w:tcPr>
            <w:tcW w:w="456" w:type="dxa"/>
            <w:shd w:val="clear" w:color="auto" w:fill="auto"/>
            <w:vAlign w:val="center"/>
          </w:tcPr>
          <w:p w14:paraId="79B6409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w:t>
            </w:r>
          </w:p>
        </w:tc>
        <w:tc>
          <w:tcPr>
            <w:tcW w:w="1043" w:type="dxa"/>
            <w:gridSpan w:val="2"/>
            <w:vMerge w:val="continue"/>
            <w:vAlign w:val="center"/>
          </w:tcPr>
          <w:p w14:paraId="5FD9AB5D">
            <w:pPr>
              <w:widowControl/>
              <w:jc w:val="left"/>
              <w:rPr>
                <w:rFonts w:ascii="等线" w:hAnsi="等线" w:eastAsia="等线" w:cs="宋体"/>
                <w:color w:val="000000"/>
                <w:kern w:val="0"/>
                <w:sz w:val="16"/>
                <w:szCs w:val="16"/>
              </w:rPr>
            </w:pPr>
          </w:p>
        </w:tc>
      </w:tr>
      <w:tr w14:paraId="4498D2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580" w:type="dxa"/>
            <w:vMerge w:val="continue"/>
            <w:vAlign w:val="center"/>
          </w:tcPr>
          <w:p w14:paraId="791E054F">
            <w:pPr>
              <w:widowControl/>
              <w:jc w:val="left"/>
              <w:rPr>
                <w:rFonts w:ascii="等线" w:hAnsi="等线" w:eastAsia="等线" w:cs="宋体"/>
                <w:color w:val="000000"/>
                <w:kern w:val="0"/>
                <w:sz w:val="16"/>
                <w:szCs w:val="16"/>
              </w:rPr>
            </w:pPr>
          </w:p>
        </w:tc>
        <w:tc>
          <w:tcPr>
            <w:tcW w:w="830" w:type="dxa"/>
            <w:vMerge w:val="continue"/>
            <w:vAlign w:val="center"/>
          </w:tcPr>
          <w:p w14:paraId="0FBEA642">
            <w:pPr>
              <w:widowControl/>
              <w:jc w:val="left"/>
              <w:rPr>
                <w:rFonts w:ascii="宋体" w:hAnsi="宋体" w:cs="宋体"/>
                <w:color w:val="000000"/>
                <w:kern w:val="0"/>
                <w:sz w:val="16"/>
                <w:szCs w:val="16"/>
              </w:rPr>
            </w:pPr>
          </w:p>
        </w:tc>
        <w:tc>
          <w:tcPr>
            <w:tcW w:w="988" w:type="dxa"/>
            <w:vMerge w:val="continue"/>
            <w:vAlign w:val="center"/>
          </w:tcPr>
          <w:p w14:paraId="1FFCDD83">
            <w:pPr>
              <w:widowControl/>
              <w:jc w:val="left"/>
              <w:rPr>
                <w:rFonts w:ascii="宋体" w:hAnsi="宋体" w:cs="宋体"/>
                <w:color w:val="000000"/>
                <w:kern w:val="0"/>
                <w:sz w:val="16"/>
                <w:szCs w:val="16"/>
              </w:rPr>
            </w:pPr>
          </w:p>
        </w:tc>
        <w:tc>
          <w:tcPr>
            <w:tcW w:w="1081" w:type="dxa"/>
            <w:vMerge w:val="continue"/>
            <w:vAlign w:val="center"/>
          </w:tcPr>
          <w:p w14:paraId="42CAB285">
            <w:pPr>
              <w:widowControl/>
              <w:jc w:val="left"/>
              <w:rPr>
                <w:rFonts w:ascii="宋体" w:hAnsi="宋体" w:cs="宋体"/>
                <w:color w:val="000000"/>
                <w:kern w:val="0"/>
                <w:sz w:val="16"/>
                <w:szCs w:val="16"/>
              </w:rPr>
            </w:pPr>
          </w:p>
        </w:tc>
        <w:tc>
          <w:tcPr>
            <w:tcW w:w="1240" w:type="dxa"/>
            <w:vMerge w:val="continue"/>
            <w:vAlign w:val="center"/>
          </w:tcPr>
          <w:p w14:paraId="752F808A">
            <w:pPr>
              <w:widowControl/>
              <w:jc w:val="left"/>
              <w:rPr>
                <w:rFonts w:ascii="宋体" w:hAnsi="宋体" w:cs="宋体"/>
                <w:color w:val="000000"/>
                <w:kern w:val="0"/>
                <w:sz w:val="16"/>
                <w:szCs w:val="16"/>
              </w:rPr>
            </w:pPr>
          </w:p>
        </w:tc>
        <w:tc>
          <w:tcPr>
            <w:tcW w:w="1036" w:type="dxa"/>
            <w:vMerge w:val="continue"/>
            <w:vAlign w:val="center"/>
          </w:tcPr>
          <w:p w14:paraId="3A632160">
            <w:pPr>
              <w:widowControl/>
              <w:jc w:val="left"/>
              <w:rPr>
                <w:rFonts w:ascii="宋体" w:hAnsi="宋体" w:cs="宋体"/>
                <w:color w:val="000000"/>
                <w:kern w:val="0"/>
                <w:sz w:val="16"/>
                <w:szCs w:val="16"/>
              </w:rPr>
            </w:pPr>
          </w:p>
        </w:tc>
        <w:tc>
          <w:tcPr>
            <w:tcW w:w="2148" w:type="dxa"/>
            <w:shd w:val="clear" w:color="auto" w:fill="auto"/>
            <w:vAlign w:val="center"/>
          </w:tcPr>
          <w:p w14:paraId="0804217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[5%，8%)或</w:t>
            </w:r>
            <w:r>
              <w:rPr>
                <w:rFonts w:hint="eastAsia" w:ascii="宋体" w:hAnsi="宋体" w:cs="宋体"/>
                <w:color w:val="000000"/>
                <w:kern w:val="0"/>
                <w:sz w:val="16"/>
                <w:szCs w:val="16"/>
              </w:rPr>
              <w:br w:type="textWrapping"/>
            </w:r>
            <w:r>
              <w:rPr>
                <w:rFonts w:hint="eastAsia" w:ascii="宋体" w:hAnsi="宋体" w:cs="宋体"/>
                <w:color w:val="000000"/>
                <w:kern w:val="0"/>
                <w:sz w:val="16"/>
                <w:szCs w:val="16"/>
              </w:rPr>
              <w:t>人数[10,15)人</w:t>
            </w:r>
          </w:p>
        </w:tc>
        <w:tc>
          <w:tcPr>
            <w:tcW w:w="456" w:type="dxa"/>
            <w:shd w:val="clear" w:color="auto" w:fill="auto"/>
            <w:vAlign w:val="center"/>
          </w:tcPr>
          <w:p w14:paraId="21839D0E">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p>
        </w:tc>
        <w:tc>
          <w:tcPr>
            <w:tcW w:w="1043" w:type="dxa"/>
            <w:gridSpan w:val="2"/>
            <w:vMerge w:val="continue"/>
            <w:vAlign w:val="center"/>
          </w:tcPr>
          <w:p w14:paraId="512CF3FB">
            <w:pPr>
              <w:widowControl/>
              <w:jc w:val="left"/>
              <w:rPr>
                <w:rFonts w:ascii="等线" w:hAnsi="等线" w:eastAsia="等线" w:cs="宋体"/>
                <w:color w:val="000000"/>
                <w:kern w:val="0"/>
                <w:sz w:val="16"/>
                <w:szCs w:val="16"/>
              </w:rPr>
            </w:pPr>
          </w:p>
        </w:tc>
      </w:tr>
      <w:tr w14:paraId="346302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80" w:type="dxa"/>
            <w:vMerge w:val="continue"/>
            <w:vAlign w:val="center"/>
          </w:tcPr>
          <w:p w14:paraId="35CF7A8C">
            <w:pPr>
              <w:widowControl/>
              <w:jc w:val="left"/>
              <w:rPr>
                <w:rFonts w:ascii="等线" w:hAnsi="等线" w:eastAsia="等线" w:cs="宋体"/>
                <w:color w:val="000000"/>
                <w:kern w:val="0"/>
                <w:sz w:val="16"/>
                <w:szCs w:val="16"/>
              </w:rPr>
            </w:pPr>
          </w:p>
        </w:tc>
        <w:tc>
          <w:tcPr>
            <w:tcW w:w="830" w:type="dxa"/>
            <w:vMerge w:val="continue"/>
            <w:vAlign w:val="center"/>
          </w:tcPr>
          <w:p w14:paraId="739D19BC">
            <w:pPr>
              <w:widowControl/>
              <w:jc w:val="left"/>
              <w:rPr>
                <w:rFonts w:ascii="宋体" w:hAnsi="宋体" w:cs="宋体"/>
                <w:color w:val="000000"/>
                <w:kern w:val="0"/>
                <w:sz w:val="16"/>
                <w:szCs w:val="16"/>
              </w:rPr>
            </w:pPr>
          </w:p>
        </w:tc>
        <w:tc>
          <w:tcPr>
            <w:tcW w:w="988" w:type="dxa"/>
            <w:vMerge w:val="continue"/>
            <w:vAlign w:val="center"/>
          </w:tcPr>
          <w:p w14:paraId="6CF12912">
            <w:pPr>
              <w:widowControl/>
              <w:jc w:val="left"/>
              <w:rPr>
                <w:rFonts w:ascii="宋体" w:hAnsi="宋体" w:cs="宋体"/>
                <w:color w:val="000000"/>
                <w:kern w:val="0"/>
                <w:sz w:val="16"/>
                <w:szCs w:val="16"/>
              </w:rPr>
            </w:pPr>
          </w:p>
        </w:tc>
        <w:tc>
          <w:tcPr>
            <w:tcW w:w="1081" w:type="dxa"/>
            <w:vMerge w:val="continue"/>
            <w:vAlign w:val="center"/>
          </w:tcPr>
          <w:p w14:paraId="7AC18767">
            <w:pPr>
              <w:widowControl/>
              <w:jc w:val="left"/>
              <w:rPr>
                <w:rFonts w:ascii="宋体" w:hAnsi="宋体" w:cs="宋体"/>
                <w:color w:val="000000"/>
                <w:kern w:val="0"/>
                <w:sz w:val="16"/>
                <w:szCs w:val="16"/>
              </w:rPr>
            </w:pPr>
          </w:p>
        </w:tc>
        <w:tc>
          <w:tcPr>
            <w:tcW w:w="1240" w:type="dxa"/>
            <w:vMerge w:val="continue"/>
            <w:vAlign w:val="center"/>
          </w:tcPr>
          <w:p w14:paraId="6D7481F6">
            <w:pPr>
              <w:widowControl/>
              <w:jc w:val="left"/>
              <w:rPr>
                <w:rFonts w:ascii="宋体" w:hAnsi="宋体" w:cs="宋体"/>
                <w:color w:val="000000"/>
                <w:kern w:val="0"/>
                <w:sz w:val="16"/>
                <w:szCs w:val="16"/>
              </w:rPr>
            </w:pPr>
          </w:p>
        </w:tc>
        <w:tc>
          <w:tcPr>
            <w:tcW w:w="1036" w:type="dxa"/>
            <w:vMerge w:val="continue"/>
            <w:vAlign w:val="center"/>
          </w:tcPr>
          <w:p w14:paraId="29AAAAD6">
            <w:pPr>
              <w:widowControl/>
              <w:jc w:val="left"/>
              <w:rPr>
                <w:rFonts w:ascii="宋体" w:hAnsi="宋体" w:cs="宋体"/>
                <w:color w:val="000000"/>
                <w:kern w:val="0"/>
                <w:sz w:val="16"/>
                <w:szCs w:val="16"/>
              </w:rPr>
            </w:pPr>
          </w:p>
        </w:tc>
        <w:tc>
          <w:tcPr>
            <w:tcW w:w="2148" w:type="dxa"/>
            <w:shd w:val="clear" w:color="auto" w:fill="auto"/>
            <w:vAlign w:val="center"/>
          </w:tcPr>
          <w:p w14:paraId="13689FF3">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＜5%或人数＜10人</w:t>
            </w:r>
          </w:p>
        </w:tc>
        <w:tc>
          <w:tcPr>
            <w:tcW w:w="456" w:type="dxa"/>
            <w:shd w:val="clear" w:color="auto" w:fill="auto"/>
            <w:vAlign w:val="center"/>
          </w:tcPr>
          <w:p w14:paraId="2FCCD657">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60478FC3">
            <w:pPr>
              <w:widowControl/>
              <w:jc w:val="left"/>
              <w:rPr>
                <w:rFonts w:ascii="等线" w:hAnsi="等线" w:eastAsia="等线" w:cs="宋体"/>
                <w:color w:val="000000"/>
                <w:kern w:val="0"/>
                <w:sz w:val="16"/>
                <w:szCs w:val="16"/>
              </w:rPr>
            </w:pPr>
          </w:p>
        </w:tc>
      </w:tr>
      <w:tr w14:paraId="51BB8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5567DB2F">
            <w:pPr>
              <w:widowControl/>
              <w:jc w:val="left"/>
              <w:rPr>
                <w:rFonts w:ascii="等线" w:hAnsi="等线" w:eastAsia="等线" w:cs="宋体"/>
                <w:color w:val="000000"/>
                <w:kern w:val="0"/>
                <w:sz w:val="16"/>
                <w:szCs w:val="16"/>
              </w:rPr>
            </w:pPr>
          </w:p>
        </w:tc>
        <w:tc>
          <w:tcPr>
            <w:tcW w:w="830" w:type="dxa"/>
            <w:vMerge w:val="continue"/>
            <w:vAlign w:val="center"/>
          </w:tcPr>
          <w:p w14:paraId="0C5082FA">
            <w:pPr>
              <w:widowControl/>
              <w:jc w:val="left"/>
              <w:rPr>
                <w:rFonts w:ascii="宋体" w:hAnsi="宋体" w:cs="宋体"/>
                <w:color w:val="000000"/>
                <w:kern w:val="0"/>
                <w:sz w:val="16"/>
                <w:szCs w:val="16"/>
              </w:rPr>
            </w:pPr>
          </w:p>
        </w:tc>
        <w:tc>
          <w:tcPr>
            <w:tcW w:w="988" w:type="dxa"/>
            <w:vMerge w:val="continue"/>
            <w:vAlign w:val="center"/>
          </w:tcPr>
          <w:p w14:paraId="07BD6FB0">
            <w:pPr>
              <w:widowControl/>
              <w:jc w:val="left"/>
              <w:rPr>
                <w:rFonts w:ascii="宋体" w:hAnsi="宋体" w:cs="宋体"/>
                <w:color w:val="000000"/>
                <w:kern w:val="0"/>
                <w:sz w:val="16"/>
                <w:szCs w:val="16"/>
              </w:rPr>
            </w:pPr>
          </w:p>
        </w:tc>
        <w:tc>
          <w:tcPr>
            <w:tcW w:w="1081" w:type="dxa"/>
            <w:vMerge w:val="restart"/>
            <w:tcBorders>
              <w:top w:val="single" w:color="auto" w:sz="4" w:space="0"/>
            </w:tcBorders>
            <w:shd w:val="clear" w:color="auto" w:fill="auto"/>
            <w:vAlign w:val="center"/>
          </w:tcPr>
          <w:p w14:paraId="097275A1">
            <w:pPr>
              <w:widowControl/>
              <w:jc w:val="center"/>
              <w:rPr>
                <w:rFonts w:ascii="宋体" w:hAnsi="宋体" w:cs="宋体"/>
                <w:color w:val="000000"/>
                <w:kern w:val="0"/>
                <w:sz w:val="16"/>
                <w:szCs w:val="16"/>
              </w:rPr>
            </w:pPr>
            <w:r>
              <w:rPr>
                <w:rFonts w:hint="eastAsia" w:ascii="宋体" w:hAnsi="宋体" w:cs="宋体"/>
                <w:color w:val="000000"/>
                <w:kern w:val="0"/>
                <w:sz w:val="16"/>
                <w:szCs w:val="16"/>
              </w:rPr>
              <w:t>研发及工程设计</w:t>
            </w:r>
          </w:p>
        </w:tc>
        <w:tc>
          <w:tcPr>
            <w:tcW w:w="1240" w:type="dxa"/>
            <w:vMerge w:val="restart"/>
            <w:tcBorders>
              <w:top w:val="single" w:color="auto" w:sz="4" w:space="0"/>
            </w:tcBorders>
            <w:shd w:val="clear" w:color="auto" w:fill="auto"/>
            <w:vAlign w:val="center"/>
          </w:tcPr>
          <w:p w14:paraId="071747EE">
            <w:pPr>
              <w:widowControl/>
              <w:jc w:val="center"/>
              <w:rPr>
                <w:rFonts w:ascii="宋体" w:hAnsi="宋体" w:cs="宋体"/>
                <w:color w:val="000000"/>
                <w:kern w:val="0"/>
                <w:sz w:val="16"/>
                <w:szCs w:val="16"/>
              </w:rPr>
            </w:pPr>
            <w:r>
              <w:rPr>
                <w:rFonts w:hint="eastAsia" w:ascii="宋体" w:hAnsi="宋体" w:cs="宋体"/>
                <w:color w:val="000000"/>
                <w:kern w:val="0"/>
                <w:sz w:val="16"/>
                <w:szCs w:val="16"/>
              </w:rPr>
              <w:t>企业开发、生产和运行管理</w:t>
            </w:r>
          </w:p>
        </w:tc>
        <w:tc>
          <w:tcPr>
            <w:tcW w:w="1036" w:type="dxa"/>
            <w:vMerge w:val="restart"/>
            <w:tcBorders>
              <w:top w:val="single" w:color="auto" w:sz="4" w:space="0"/>
            </w:tcBorders>
            <w:shd w:val="clear" w:color="auto" w:fill="auto"/>
            <w:vAlign w:val="center"/>
          </w:tcPr>
          <w:p w14:paraId="232F2FE8">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644DA4D5">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采用智能化和信息化管理工具</w:t>
            </w:r>
          </w:p>
        </w:tc>
        <w:tc>
          <w:tcPr>
            <w:tcW w:w="456" w:type="dxa"/>
            <w:shd w:val="clear" w:color="000000" w:fill="D9D9D9"/>
            <w:vAlign w:val="center"/>
          </w:tcPr>
          <w:p w14:paraId="11B95925">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6</w:t>
            </w:r>
          </w:p>
        </w:tc>
        <w:tc>
          <w:tcPr>
            <w:tcW w:w="1043" w:type="dxa"/>
            <w:gridSpan w:val="2"/>
            <w:vMerge w:val="continue"/>
            <w:vAlign w:val="center"/>
          </w:tcPr>
          <w:p w14:paraId="0E9DAB26">
            <w:pPr>
              <w:widowControl/>
              <w:jc w:val="left"/>
              <w:rPr>
                <w:rFonts w:ascii="等线" w:hAnsi="等线" w:eastAsia="等线" w:cs="宋体"/>
                <w:color w:val="000000"/>
                <w:kern w:val="0"/>
                <w:sz w:val="16"/>
                <w:szCs w:val="16"/>
              </w:rPr>
            </w:pPr>
          </w:p>
        </w:tc>
      </w:tr>
      <w:tr w14:paraId="6B54A4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225B697E">
            <w:pPr>
              <w:widowControl/>
              <w:jc w:val="left"/>
              <w:rPr>
                <w:rFonts w:ascii="等线" w:hAnsi="等线" w:eastAsia="等线" w:cs="宋体"/>
                <w:color w:val="000000"/>
                <w:kern w:val="0"/>
                <w:sz w:val="16"/>
                <w:szCs w:val="16"/>
              </w:rPr>
            </w:pPr>
          </w:p>
        </w:tc>
        <w:tc>
          <w:tcPr>
            <w:tcW w:w="830" w:type="dxa"/>
            <w:vMerge w:val="continue"/>
            <w:vAlign w:val="center"/>
          </w:tcPr>
          <w:p w14:paraId="27EAD60D">
            <w:pPr>
              <w:widowControl/>
              <w:jc w:val="left"/>
              <w:rPr>
                <w:rFonts w:ascii="宋体" w:hAnsi="宋体" w:cs="宋体"/>
                <w:color w:val="000000"/>
                <w:kern w:val="0"/>
                <w:sz w:val="16"/>
                <w:szCs w:val="16"/>
              </w:rPr>
            </w:pPr>
          </w:p>
        </w:tc>
        <w:tc>
          <w:tcPr>
            <w:tcW w:w="988" w:type="dxa"/>
            <w:vMerge w:val="continue"/>
            <w:vAlign w:val="center"/>
          </w:tcPr>
          <w:p w14:paraId="77226AF0">
            <w:pPr>
              <w:widowControl/>
              <w:jc w:val="left"/>
              <w:rPr>
                <w:rFonts w:ascii="宋体" w:hAnsi="宋体" w:cs="宋体"/>
                <w:color w:val="000000"/>
                <w:kern w:val="0"/>
                <w:sz w:val="16"/>
                <w:szCs w:val="16"/>
              </w:rPr>
            </w:pPr>
          </w:p>
        </w:tc>
        <w:tc>
          <w:tcPr>
            <w:tcW w:w="1081" w:type="dxa"/>
            <w:vMerge w:val="continue"/>
            <w:vAlign w:val="center"/>
          </w:tcPr>
          <w:p w14:paraId="7E6D7E8E">
            <w:pPr>
              <w:widowControl/>
              <w:jc w:val="left"/>
              <w:rPr>
                <w:rFonts w:ascii="宋体" w:hAnsi="宋体" w:cs="宋体"/>
                <w:color w:val="000000"/>
                <w:kern w:val="0"/>
                <w:sz w:val="16"/>
                <w:szCs w:val="16"/>
              </w:rPr>
            </w:pPr>
          </w:p>
        </w:tc>
        <w:tc>
          <w:tcPr>
            <w:tcW w:w="1240" w:type="dxa"/>
            <w:vMerge w:val="continue"/>
            <w:vAlign w:val="center"/>
          </w:tcPr>
          <w:p w14:paraId="499D1A14">
            <w:pPr>
              <w:widowControl/>
              <w:jc w:val="left"/>
              <w:rPr>
                <w:rFonts w:ascii="宋体" w:hAnsi="宋体" w:cs="宋体"/>
                <w:color w:val="000000"/>
                <w:kern w:val="0"/>
                <w:sz w:val="16"/>
                <w:szCs w:val="16"/>
              </w:rPr>
            </w:pPr>
          </w:p>
        </w:tc>
        <w:tc>
          <w:tcPr>
            <w:tcW w:w="1036" w:type="dxa"/>
            <w:vMerge w:val="continue"/>
            <w:vAlign w:val="center"/>
          </w:tcPr>
          <w:p w14:paraId="2AFE3AEC">
            <w:pPr>
              <w:widowControl/>
              <w:jc w:val="left"/>
              <w:rPr>
                <w:rFonts w:ascii="宋体" w:hAnsi="宋体" w:cs="宋体"/>
                <w:color w:val="000000"/>
                <w:kern w:val="0"/>
                <w:sz w:val="16"/>
                <w:szCs w:val="16"/>
              </w:rPr>
            </w:pPr>
          </w:p>
        </w:tc>
        <w:tc>
          <w:tcPr>
            <w:tcW w:w="2148" w:type="dxa"/>
            <w:shd w:val="clear" w:color="auto" w:fill="auto"/>
            <w:vAlign w:val="center"/>
          </w:tcPr>
          <w:p w14:paraId="76273869">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采用信息化管理工具</w:t>
            </w:r>
          </w:p>
        </w:tc>
        <w:tc>
          <w:tcPr>
            <w:tcW w:w="456" w:type="dxa"/>
            <w:shd w:val="clear" w:color="auto" w:fill="auto"/>
            <w:vAlign w:val="center"/>
          </w:tcPr>
          <w:p w14:paraId="59AC1BB0">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3</w:t>
            </w:r>
          </w:p>
        </w:tc>
        <w:tc>
          <w:tcPr>
            <w:tcW w:w="1043" w:type="dxa"/>
            <w:gridSpan w:val="2"/>
            <w:vMerge w:val="continue"/>
            <w:vAlign w:val="center"/>
          </w:tcPr>
          <w:p w14:paraId="3AAF1F68">
            <w:pPr>
              <w:widowControl/>
              <w:jc w:val="left"/>
              <w:rPr>
                <w:rFonts w:ascii="等线" w:hAnsi="等线" w:eastAsia="等线" w:cs="宋体"/>
                <w:color w:val="000000"/>
                <w:kern w:val="0"/>
                <w:sz w:val="16"/>
                <w:szCs w:val="16"/>
              </w:rPr>
            </w:pPr>
          </w:p>
        </w:tc>
      </w:tr>
      <w:tr w14:paraId="223C4A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14661020">
            <w:pPr>
              <w:widowControl/>
              <w:jc w:val="left"/>
              <w:rPr>
                <w:rFonts w:ascii="等线" w:hAnsi="等线" w:eastAsia="等线" w:cs="宋体"/>
                <w:color w:val="000000"/>
                <w:kern w:val="0"/>
                <w:sz w:val="16"/>
                <w:szCs w:val="16"/>
              </w:rPr>
            </w:pPr>
          </w:p>
        </w:tc>
        <w:tc>
          <w:tcPr>
            <w:tcW w:w="830" w:type="dxa"/>
            <w:vMerge w:val="continue"/>
            <w:vAlign w:val="center"/>
          </w:tcPr>
          <w:p w14:paraId="2A856761">
            <w:pPr>
              <w:widowControl/>
              <w:jc w:val="left"/>
              <w:rPr>
                <w:rFonts w:ascii="宋体" w:hAnsi="宋体" w:cs="宋体"/>
                <w:color w:val="000000"/>
                <w:kern w:val="0"/>
                <w:sz w:val="16"/>
                <w:szCs w:val="16"/>
              </w:rPr>
            </w:pPr>
          </w:p>
        </w:tc>
        <w:tc>
          <w:tcPr>
            <w:tcW w:w="988" w:type="dxa"/>
            <w:vMerge w:val="continue"/>
            <w:vAlign w:val="center"/>
          </w:tcPr>
          <w:p w14:paraId="5ADBC037">
            <w:pPr>
              <w:widowControl/>
              <w:jc w:val="left"/>
              <w:rPr>
                <w:rFonts w:ascii="宋体" w:hAnsi="宋体" w:cs="宋体"/>
                <w:color w:val="000000"/>
                <w:kern w:val="0"/>
                <w:sz w:val="16"/>
                <w:szCs w:val="16"/>
              </w:rPr>
            </w:pPr>
          </w:p>
        </w:tc>
        <w:tc>
          <w:tcPr>
            <w:tcW w:w="1081" w:type="dxa"/>
            <w:vMerge w:val="continue"/>
            <w:vAlign w:val="center"/>
          </w:tcPr>
          <w:p w14:paraId="3B69DEDD">
            <w:pPr>
              <w:widowControl/>
              <w:jc w:val="left"/>
              <w:rPr>
                <w:rFonts w:ascii="宋体" w:hAnsi="宋体" w:cs="宋体"/>
                <w:color w:val="000000"/>
                <w:kern w:val="0"/>
                <w:sz w:val="16"/>
                <w:szCs w:val="16"/>
              </w:rPr>
            </w:pPr>
          </w:p>
        </w:tc>
        <w:tc>
          <w:tcPr>
            <w:tcW w:w="1240" w:type="dxa"/>
            <w:vMerge w:val="continue"/>
            <w:vAlign w:val="center"/>
          </w:tcPr>
          <w:p w14:paraId="679798CD">
            <w:pPr>
              <w:widowControl/>
              <w:jc w:val="left"/>
              <w:rPr>
                <w:rFonts w:ascii="宋体" w:hAnsi="宋体" w:cs="宋体"/>
                <w:color w:val="000000"/>
                <w:kern w:val="0"/>
                <w:sz w:val="16"/>
                <w:szCs w:val="16"/>
              </w:rPr>
            </w:pPr>
          </w:p>
        </w:tc>
        <w:tc>
          <w:tcPr>
            <w:tcW w:w="1036" w:type="dxa"/>
            <w:vMerge w:val="continue"/>
            <w:vAlign w:val="center"/>
          </w:tcPr>
          <w:p w14:paraId="3DCDEC7B">
            <w:pPr>
              <w:widowControl/>
              <w:jc w:val="left"/>
              <w:rPr>
                <w:rFonts w:ascii="宋体" w:hAnsi="宋体" w:cs="宋体"/>
                <w:color w:val="000000"/>
                <w:kern w:val="0"/>
                <w:sz w:val="16"/>
                <w:szCs w:val="16"/>
              </w:rPr>
            </w:pPr>
          </w:p>
        </w:tc>
        <w:tc>
          <w:tcPr>
            <w:tcW w:w="2148" w:type="dxa"/>
            <w:shd w:val="clear" w:color="auto" w:fill="auto"/>
            <w:vAlign w:val="center"/>
          </w:tcPr>
          <w:p w14:paraId="1FF5F5C4">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均未采用</w:t>
            </w:r>
          </w:p>
        </w:tc>
        <w:tc>
          <w:tcPr>
            <w:tcW w:w="456" w:type="dxa"/>
            <w:shd w:val="clear" w:color="auto" w:fill="auto"/>
            <w:vAlign w:val="center"/>
          </w:tcPr>
          <w:p w14:paraId="39E213D4">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311F8BA0">
            <w:pPr>
              <w:widowControl/>
              <w:jc w:val="left"/>
              <w:rPr>
                <w:rFonts w:ascii="等线" w:hAnsi="等线" w:eastAsia="等线" w:cs="宋体"/>
                <w:color w:val="000000"/>
                <w:kern w:val="0"/>
                <w:sz w:val="16"/>
                <w:szCs w:val="16"/>
              </w:rPr>
            </w:pPr>
          </w:p>
        </w:tc>
      </w:tr>
      <w:tr w14:paraId="24BBD0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43374B7D">
            <w:pPr>
              <w:widowControl/>
              <w:jc w:val="left"/>
              <w:rPr>
                <w:rFonts w:ascii="等线" w:hAnsi="等线" w:eastAsia="等线" w:cs="宋体"/>
                <w:color w:val="000000"/>
                <w:kern w:val="0"/>
                <w:sz w:val="16"/>
                <w:szCs w:val="16"/>
              </w:rPr>
            </w:pPr>
          </w:p>
        </w:tc>
        <w:tc>
          <w:tcPr>
            <w:tcW w:w="830" w:type="dxa"/>
            <w:vMerge w:val="continue"/>
            <w:vAlign w:val="center"/>
          </w:tcPr>
          <w:p w14:paraId="3B57E496">
            <w:pPr>
              <w:widowControl/>
              <w:jc w:val="left"/>
              <w:rPr>
                <w:rFonts w:ascii="宋体" w:hAnsi="宋体" w:cs="宋体"/>
                <w:color w:val="000000"/>
                <w:kern w:val="0"/>
                <w:sz w:val="16"/>
                <w:szCs w:val="16"/>
              </w:rPr>
            </w:pPr>
          </w:p>
        </w:tc>
        <w:tc>
          <w:tcPr>
            <w:tcW w:w="988" w:type="dxa"/>
            <w:vMerge w:val="continue"/>
            <w:vAlign w:val="center"/>
          </w:tcPr>
          <w:p w14:paraId="35E910BB">
            <w:pPr>
              <w:widowControl/>
              <w:jc w:val="left"/>
              <w:rPr>
                <w:rFonts w:ascii="宋体" w:hAnsi="宋体" w:cs="宋体"/>
                <w:color w:val="000000"/>
                <w:kern w:val="0"/>
                <w:sz w:val="16"/>
                <w:szCs w:val="16"/>
              </w:rPr>
            </w:pPr>
          </w:p>
        </w:tc>
        <w:tc>
          <w:tcPr>
            <w:tcW w:w="1081" w:type="dxa"/>
            <w:vMerge w:val="continue"/>
            <w:vAlign w:val="center"/>
          </w:tcPr>
          <w:p w14:paraId="49339F4A">
            <w:pPr>
              <w:jc w:val="left"/>
              <w:rPr>
                <w:rFonts w:ascii="宋体" w:hAnsi="宋体" w:cs="宋体"/>
                <w:color w:val="000000"/>
                <w:kern w:val="0"/>
                <w:sz w:val="16"/>
                <w:szCs w:val="16"/>
              </w:rPr>
            </w:pPr>
          </w:p>
        </w:tc>
        <w:tc>
          <w:tcPr>
            <w:tcW w:w="1240" w:type="dxa"/>
            <w:vMerge w:val="restart"/>
            <w:vAlign w:val="center"/>
          </w:tcPr>
          <w:p w14:paraId="5C72AD0D">
            <w:pPr>
              <w:jc w:val="left"/>
              <w:rPr>
                <w:rFonts w:ascii="宋体" w:hAnsi="宋体" w:cs="宋体"/>
                <w:color w:val="000000"/>
                <w:kern w:val="0"/>
                <w:sz w:val="16"/>
                <w:szCs w:val="16"/>
              </w:rPr>
            </w:pPr>
            <w:r>
              <w:rPr>
                <w:rFonts w:hint="eastAsia" w:ascii="宋体" w:hAnsi="宋体" w:cs="宋体"/>
                <w:color w:val="000000"/>
                <w:kern w:val="0"/>
                <w:sz w:val="16"/>
                <w:szCs w:val="16"/>
              </w:rPr>
              <w:t>系统和装置调试及开发工具</w:t>
            </w:r>
          </w:p>
        </w:tc>
        <w:tc>
          <w:tcPr>
            <w:tcW w:w="1036" w:type="dxa"/>
            <w:vMerge w:val="restart"/>
            <w:vAlign w:val="center"/>
          </w:tcPr>
          <w:p w14:paraId="3665BD64">
            <w:pPr>
              <w:jc w:val="left"/>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781F6DDB">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仿真系统及软、硬件开发工具</w:t>
            </w:r>
          </w:p>
        </w:tc>
        <w:tc>
          <w:tcPr>
            <w:tcW w:w="456" w:type="dxa"/>
            <w:shd w:val="clear" w:color="auto" w:fill="auto"/>
            <w:vAlign w:val="center"/>
          </w:tcPr>
          <w:p w14:paraId="68C6642A">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8</w:t>
            </w:r>
          </w:p>
        </w:tc>
        <w:tc>
          <w:tcPr>
            <w:tcW w:w="1043" w:type="dxa"/>
            <w:gridSpan w:val="2"/>
            <w:vMerge w:val="continue"/>
            <w:vAlign w:val="center"/>
          </w:tcPr>
          <w:p w14:paraId="1DFD97F8">
            <w:pPr>
              <w:widowControl/>
              <w:jc w:val="left"/>
              <w:rPr>
                <w:rFonts w:ascii="等线" w:hAnsi="等线" w:eastAsia="等线" w:cs="宋体"/>
                <w:color w:val="000000"/>
                <w:kern w:val="0"/>
                <w:sz w:val="16"/>
                <w:szCs w:val="16"/>
              </w:rPr>
            </w:pPr>
          </w:p>
        </w:tc>
      </w:tr>
      <w:tr w14:paraId="25815A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04C5E5A9">
            <w:pPr>
              <w:widowControl/>
              <w:jc w:val="left"/>
              <w:rPr>
                <w:rFonts w:ascii="等线" w:hAnsi="等线" w:eastAsia="等线" w:cs="宋体"/>
                <w:color w:val="000000"/>
                <w:kern w:val="0"/>
                <w:sz w:val="16"/>
                <w:szCs w:val="16"/>
              </w:rPr>
            </w:pPr>
          </w:p>
        </w:tc>
        <w:tc>
          <w:tcPr>
            <w:tcW w:w="830" w:type="dxa"/>
            <w:vMerge w:val="continue"/>
            <w:vAlign w:val="center"/>
          </w:tcPr>
          <w:p w14:paraId="370830FA">
            <w:pPr>
              <w:widowControl/>
              <w:jc w:val="left"/>
              <w:rPr>
                <w:rFonts w:ascii="宋体" w:hAnsi="宋体" w:cs="宋体"/>
                <w:color w:val="000000"/>
                <w:kern w:val="0"/>
                <w:sz w:val="16"/>
                <w:szCs w:val="16"/>
              </w:rPr>
            </w:pPr>
          </w:p>
        </w:tc>
        <w:tc>
          <w:tcPr>
            <w:tcW w:w="988" w:type="dxa"/>
            <w:vMerge w:val="continue"/>
            <w:vAlign w:val="center"/>
          </w:tcPr>
          <w:p w14:paraId="504BC395">
            <w:pPr>
              <w:widowControl/>
              <w:jc w:val="left"/>
              <w:rPr>
                <w:rFonts w:ascii="宋体" w:hAnsi="宋体" w:cs="宋体"/>
                <w:color w:val="000000"/>
                <w:kern w:val="0"/>
                <w:sz w:val="16"/>
                <w:szCs w:val="16"/>
              </w:rPr>
            </w:pPr>
          </w:p>
        </w:tc>
        <w:tc>
          <w:tcPr>
            <w:tcW w:w="1081" w:type="dxa"/>
            <w:vMerge w:val="continue"/>
            <w:vAlign w:val="center"/>
          </w:tcPr>
          <w:p w14:paraId="059B0007">
            <w:pPr>
              <w:widowControl/>
              <w:jc w:val="left"/>
              <w:rPr>
                <w:rFonts w:ascii="宋体" w:hAnsi="宋体" w:cs="宋体"/>
                <w:color w:val="000000"/>
                <w:kern w:val="0"/>
                <w:sz w:val="16"/>
                <w:szCs w:val="16"/>
              </w:rPr>
            </w:pPr>
          </w:p>
        </w:tc>
        <w:tc>
          <w:tcPr>
            <w:tcW w:w="1240" w:type="dxa"/>
            <w:vMerge w:val="continue"/>
            <w:vAlign w:val="center"/>
          </w:tcPr>
          <w:p w14:paraId="265CB84E">
            <w:pPr>
              <w:widowControl/>
              <w:jc w:val="left"/>
              <w:rPr>
                <w:rFonts w:ascii="宋体" w:hAnsi="宋体" w:cs="宋体"/>
                <w:color w:val="000000"/>
                <w:kern w:val="0"/>
                <w:sz w:val="16"/>
                <w:szCs w:val="16"/>
              </w:rPr>
            </w:pPr>
          </w:p>
        </w:tc>
        <w:tc>
          <w:tcPr>
            <w:tcW w:w="1036" w:type="dxa"/>
            <w:vMerge w:val="continue"/>
            <w:vAlign w:val="center"/>
          </w:tcPr>
          <w:p w14:paraId="4E173ECF">
            <w:pPr>
              <w:widowControl/>
              <w:jc w:val="left"/>
              <w:rPr>
                <w:rFonts w:ascii="宋体" w:hAnsi="宋体" w:cs="宋体"/>
                <w:color w:val="000000"/>
                <w:kern w:val="0"/>
                <w:sz w:val="16"/>
                <w:szCs w:val="16"/>
              </w:rPr>
            </w:pPr>
          </w:p>
        </w:tc>
        <w:tc>
          <w:tcPr>
            <w:tcW w:w="2148" w:type="dxa"/>
            <w:shd w:val="clear" w:color="auto" w:fill="auto"/>
            <w:vAlign w:val="center"/>
          </w:tcPr>
          <w:p w14:paraId="6CD1670F">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满足以上其二</w:t>
            </w:r>
          </w:p>
        </w:tc>
        <w:tc>
          <w:tcPr>
            <w:tcW w:w="456" w:type="dxa"/>
            <w:shd w:val="clear" w:color="auto" w:fill="auto"/>
            <w:vAlign w:val="center"/>
          </w:tcPr>
          <w:p w14:paraId="386B9ED0">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13B86EDA">
            <w:pPr>
              <w:widowControl/>
              <w:jc w:val="left"/>
              <w:rPr>
                <w:rFonts w:ascii="等线" w:hAnsi="等线" w:eastAsia="等线" w:cs="宋体"/>
                <w:color w:val="000000"/>
                <w:kern w:val="0"/>
                <w:sz w:val="16"/>
                <w:szCs w:val="16"/>
              </w:rPr>
            </w:pPr>
          </w:p>
        </w:tc>
      </w:tr>
      <w:tr w14:paraId="64653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022E752D">
            <w:pPr>
              <w:widowControl/>
              <w:jc w:val="left"/>
              <w:rPr>
                <w:rFonts w:ascii="等线" w:hAnsi="等线" w:eastAsia="等线" w:cs="宋体"/>
                <w:color w:val="000000"/>
                <w:kern w:val="0"/>
                <w:sz w:val="16"/>
                <w:szCs w:val="16"/>
              </w:rPr>
            </w:pPr>
          </w:p>
        </w:tc>
        <w:tc>
          <w:tcPr>
            <w:tcW w:w="830" w:type="dxa"/>
            <w:vMerge w:val="continue"/>
            <w:vAlign w:val="center"/>
          </w:tcPr>
          <w:p w14:paraId="4B51F645">
            <w:pPr>
              <w:widowControl/>
              <w:jc w:val="left"/>
              <w:rPr>
                <w:rFonts w:ascii="宋体" w:hAnsi="宋体" w:cs="宋体"/>
                <w:color w:val="000000"/>
                <w:kern w:val="0"/>
                <w:sz w:val="16"/>
                <w:szCs w:val="16"/>
              </w:rPr>
            </w:pPr>
          </w:p>
        </w:tc>
        <w:tc>
          <w:tcPr>
            <w:tcW w:w="988" w:type="dxa"/>
            <w:vMerge w:val="continue"/>
            <w:vAlign w:val="center"/>
          </w:tcPr>
          <w:p w14:paraId="22619461">
            <w:pPr>
              <w:widowControl/>
              <w:jc w:val="left"/>
              <w:rPr>
                <w:rFonts w:ascii="宋体" w:hAnsi="宋体" w:cs="宋体"/>
                <w:color w:val="000000"/>
                <w:kern w:val="0"/>
                <w:sz w:val="16"/>
                <w:szCs w:val="16"/>
              </w:rPr>
            </w:pPr>
          </w:p>
        </w:tc>
        <w:tc>
          <w:tcPr>
            <w:tcW w:w="1081" w:type="dxa"/>
            <w:vMerge w:val="continue"/>
            <w:vAlign w:val="center"/>
          </w:tcPr>
          <w:p w14:paraId="14861985">
            <w:pPr>
              <w:widowControl/>
              <w:jc w:val="left"/>
              <w:rPr>
                <w:rFonts w:ascii="宋体" w:hAnsi="宋体" w:cs="宋体"/>
                <w:color w:val="000000"/>
                <w:kern w:val="0"/>
                <w:sz w:val="16"/>
                <w:szCs w:val="16"/>
              </w:rPr>
            </w:pPr>
          </w:p>
        </w:tc>
        <w:tc>
          <w:tcPr>
            <w:tcW w:w="1240" w:type="dxa"/>
            <w:vMerge w:val="continue"/>
            <w:vAlign w:val="center"/>
          </w:tcPr>
          <w:p w14:paraId="778DB358">
            <w:pPr>
              <w:widowControl/>
              <w:jc w:val="left"/>
              <w:rPr>
                <w:rFonts w:ascii="宋体" w:hAnsi="宋体" w:cs="宋体"/>
                <w:color w:val="000000"/>
                <w:kern w:val="0"/>
                <w:sz w:val="16"/>
                <w:szCs w:val="16"/>
              </w:rPr>
            </w:pPr>
          </w:p>
        </w:tc>
        <w:tc>
          <w:tcPr>
            <w:tcW w:w="1036" w:type="dxa"/>
            <w:vMerge w:val="continue"/>
            <w:vAlign w:val="center"/>
          </w:tcPr>
          <w:p w14:paraId="1226215F">
            <w:pPr>
              <w:widowControl/>
              <w:jc w:val="left"/>
              <w:rPr>
                <w:rFonts w:ascii="宋体" w:hAnsi="宋体" w:cs="宋体"/>
                <w:color w:val="000000"/>
                <w:kern w:val="0"/>
                <w:sz w:val="16"/>
                <w:szCs w:val="16"/>
              </w:rPr>
            </w:pPr>
          </w:p>
        </w:tc>
        <w:tc>
          <w:tcPr>
            <w:tcW w:w="2148" w:type="dxa"/>
            <w:shd w:val="clear" w:color="auto" w:fill="auto"/>
            <w:vAlign w:val="center"/>
          </w:tcPr>
          <w:p w14:paraId="5BDAEA4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满足以上其一</w:t>
            </w:r>
          </w:p>
        </w:tc>
        <w:tc>
          <w:tcPr>
            <w:tcW w:w="456" w:type="dxa"/>
            <w:shd w:val="clear" w:color="auto" w:fill="auto"/>
            <w:vAlign w:val="center"/>
          </w:tcPr>
          <w:p w14:paraId="785AFC3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w:t>
            </w:r>
          </w:p>
        </w:tc>
        <w:tc>
          <w:tcPr>
            <w:tcW w:w="1043" w:type="dxa"/>
            <w:gridSpan w:val="2"/>
            <w:vMerge w:val="continue"/>
            <w:vAlign w:val="center"/>
          </w:tcPr>
          <w:p w14:paraId="558B8474">
            <w:pPr>
              <w:widowControl/>
              <w:jc w:val="left"/>
              <w:rPr>
                <w:rFonts w:ascii="等线" w:hAnsi="等线" w:eastAsia="等线" w:cs="宋体"/>
                <w:color w:val="000000"/>
                <w:kern w:val="0"/>
                <w:sz w:val="16"/>
                <w:szCs w:val="16"/>
              </w:rPr>
            </w:pPr>
          </w:p>
        </w:tc>
      </w:tr>
      <w:tr w14:paraId="5A640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2947471A">
            <w:pPr>
              <w:widowControl/>
              <w:jc w:val="left"/>
              <w:rPr>
                <w:rFonts w:ascii="等线" w:hAnsi="等线" w:eastAsia="等线" w:cs="宋体"/>
                <w:color w:val="000000"/>
                <w:kern w:val="0"/>
                <w:sz w:val="16"/>
                <w:szCs w:val="16"/>
              </w:rPr>
            </w:pPr>
          </w:p>
        </w:tc>
        <w:tc>
          <w:tcPr>
            <w:tcW w:w="830" w:type="dxa"/>
            <w:vMerge w:val="continue"/>
            <w:vAlign w:val="center"/>
          </w:tcPr>
          <w:p w14:paraId="2E7F7CCC">
            <w:pPr>
              <w:widowControl/>
              <w:jc w:val="left"/>
              <w:rPr>
                <w:rFonts w:ascii="宋体" w:hAnsi="宋体" w:cs="宋体"/>
                <w:color w:val="000000"/>
                <w:kern w:val="0"/>
                <w:sz w:val="16"/>
                <w:szCs w:val="16"/>
              </w:rPr>
            </w:pPr>
          </w:p>
        </w:tc>
        <w:tc>
          <w:tcPr>
            <w:tcW w:w="988" w:type="dxa"/>
            <w:vMerge w:val="continue"/>
            <w:vAlign w:val="center"/>
          </w:tcPr>
          <w:p w14:paraId="6BE37B78">
            <w:pPr>
              <w:widowControl/>
              <w:jc w:val="left"/>
              <w:rPr>
                <w:rFonts w:ascii="宋体" w:hAnsi="宋体" w:cs="宋体"/>
                <w:color w:val="000000"/>
                <w:kern w:val="0"/>
                <w:sz w:val="16"/>
                <w:szCs w:val="16"/>
              </w:rPr>
            </w:pPr>
          </w:p>
        </w:tc>
        <w:tc>
          <w:tcPr>
            <w:tcW w:w="1081" w:type="dxa"/>
            <w:vMerge w:val="continue"/>
            <w:vAlign w:val="center"/>
          </w:tcPr>
          <w:p w14:paraId="110490E0">
            <w:pPr>
              <w:widowControl/>
              <w:jc w:val="left"/>
              <w:rPr>
                <w:rFonts w:ascii="宋体" w:hAnsi="宋体" w:cs="宋体"/>
                <w:color w:val="000000"/>
                <w:kern w:val="0"/>
                <w:sz w:val="16"/>
                <w:szCs w:val="16"/>
              </w:rPr>
            </w:pPr>
          </w:p>
        </w:tc>
        <w:tc>
          <w:tcPr>
            <w:tcW w:w="1240" w:type="dxa"/>
            <w:vMerge w:val="continue"/>
            <w:vAlign w:val="center"/>
          </w:tcPr>
          <w:p w14:paraId="7736929A">
            <w:pPr>
              <w:widowControl/>
              <w:jc w:val="left"/>
              <w:rPr>
                <w:rFonts w:ascii="宋体" w:hAnsi="宋体" w:cs="宋体"/>
                <w:color w:val="000000"/>
                <w:kern w:val="0"/>
                <w:sz w:val="16"/>
                <w:szCs w:val="16"/>
              </w:rPr>
            </w:pPr>
          </w:p>
        </w:tc>
        <w:tc>
          <w:tcPr>
            <w:tcW w:w="1036" w:type="dxa"/>
            <w:vMerge w:val="continue"/>
            <w:vAlign w:val="center"/>
          </w:tcPr>
          <w:p w14:paraId="03A304C0">
            <w:pPr>
              <w:widowControl/>
              <w:jc w:val="left"/>
              <w:rPr>
                <w:rFonts w:ascii="宋体" w:hAnsi="宋体" w:cs="宋体"/>
                <w:color w:val="000000"/>
                <w:kern w:val="0"/>
                <w:sz w:val="16"/>
                <w:szCs w:val="16"/>
              </w:rPr>
            </w:pPr>
          </w:p>
        </w:tc>
        <w:tc>
          <w:tcPr>
            <w:tcW w:w="2148" w:type="dxa"/>
            <w:shd w:val="clear" w:color="auto" w:fill="auto"/>
            <w:vAlign w:val="center"/>
          </w:tcPr>
          <w:p w14:paraId="1FF9F552">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均不满足</w:t>
            </w:r>
          </w:p>
        </w:tc>
        <w:tc>
          <w:tcPr>
            <w:tcW w:w="456" w:type="dxa"/>
            <w:shd w:val="clear" w:color="auto" w:fill="auto"/>
            <w:vAlign w:val="center"/>
          </w:tcPr>
          <w:p w14:paraId="53450DC6">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1B2E4D9B">
            <w:pPr>
              <w:widowControl/>
              <w:jc w:val="left"/>
              <w:rPr>
                <w:rFonts w:ascii="等线" w:hAnsi="等线" w:eastAsia="等线" w:cs="宋体"/>
                <w:color w:val="000000"/>
                <w:kern w:val="0"/>
                <w:sz w:val="16"/>
                <w:szCs w:val="16"/>
              </w:rPr>
            </w:pPr>
          </w:p>
        </w:tc>
      </w:tr>
      <w:tr w14:paraId="6E3E99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49EC2CE7">
            <w:pPr>
              <w:widowControl/>
              <w:jc w:val="left"/>
              <w:rPr>
                <w:rFonts w:ascii="等线" w:hAnsi="等线" w:eastAsia="等线" w:cs="宋体"/>
                <w:color w:val="000000"/>
                <w:kern w:val="0"/>
                <w:sz w:val="16"/>
                <w:szCs w:val="16"/>
              </w:rPr>
            </w:pPr>
          </w:p>
        </w:tc>
        <w:tc>
          <w:tcPr>
            <w:tcW w:w="830" w:type="dxa"/>
            <w:vMerge w:val="continue"/>
            <w:vAlign w:val="center"/>
          </w:tcPr>
          <w:p w14:paraId="04836599">
            <w:pPr>
              <w:widowControl/>
              <w:jc w:val="left"/>
              <w:rPr>
                <w:rFonts w:ascii="宋体" w:hAnsi="宋体" w:cs="宋体"/>
                <w:color w:val="000000"/>
                <w:kern w:val="0"/>
                <w:sz w:val="16"/>
                <w:szCs w:val="16"/>
              </w:rPr>
            </w:pPr>
          </w:p>
        </w:tc>
        <w:tc>
          <w:tcPr>
            <w:tcW w:w="988" w:type="dxa"/>
            <w:vMerge w:val="continue"/>
            <w:vAlign w:val="center"/>
          </w:tcPr>
          <w:p w14:paraId="3FDD6397">
            <w:pPr>
              <w:widowControl/>
              <w:jc w:val="left"/>
              <w:rPr>
                <w:rFonts w:ascii="宋体" w:hAnsi="宋体" w:cs="宋体"/>
                <w:color w:val="000000"/>
                <w:kern w:val="0"/>
                <w:sz w:val="16"/>
                <w:szCs w:val="16"/>
              </w:rPr>
            </w:pPr>
          </w:p>
        </w:tc>
        <w:tc>
          <w:tcPr>
            <w:tcW w:w="1081" w:type="dxa"/>
            <w:vMerge w:val="restart"/>
            <w:vAlign w:val="center"/>
          </w:tcPr>
          <w:p w14:paraId="3D1EC06B">
            <w:pPr>
              <w:widowControl/>
              <w:jc w:val="center"/>
              <w:rPr>
                <w:rFonts w:ascii="宋体" w:hAnsi="宋体" w:cs="宋体"/>
                <w:color w:val="000000"/>
                <w:kern w:val="0"/>
                <w:sz w:val="16"/>
                <w:szCs w:val="16"/>
              </w:rPr>
            </w:pPr>
            <w:r>
              <w:rPr>
                <w:rFonts w:hint="eastAsia" w:ascii="宋体" w:hAnsi="宋体" w:cs="宋体"/>
                <w:color w:val="000000"/>
                <w:kern w:val="0"/>
                <w:sz w:val="16"/>
                <w:szCs w:val="16"/>
              </w:rPr>
              <w:t>型式试验</w:t>
            </w:r>
          </w:p>
          <w:p w14:paraId="2B427CDC">
            <w:pPr>
              <w:widowControl/>
              <w:jc w:val="center"/>
              <w:rPr>
                <w:rFonts w:ascii="宋体" w:hAnsi="宋体" w:cs="宋体"/>
                <w:color w:val="000000"/>
                <w:kern w:val="0"/>
                <w:sz w:val="16"/>
                <w:szCs w:val="16"/>
              </w:rPr>
            </w:pPr>
            <w:r>
              <w:rPr>
                <w:rFonts w:hint="eastAsia" w:ascii="宋体" w:hAnsi="宋体" w:cs="宋体"/>
                <w:color w:val="000000"/>
                <w:kern w:val="0"/>
                <w:sz w:val="16"/>
                <w:szCs w:val="16"/>
              </w:rPr>
              <w:t>报告</w:t>
            </w:r>
          </w:p>
        </w:tc>
        <w:tc>
          <w:tcPr>
            <w:tcW w:w="1240" w:type="dxa"/>
            <w:vMerge w:val="restart"/>
            <w:shd w:val="clear" w:color="auto" w:fill="auto"/>
            <w:vAlign w:val="center"/>
          </w:tcPr>
          <w:p w14:paraId="30BCD811">
            <w:pPr>
              <w:widowControl/>
              <w:jc w:val="center"/>
              <w:rPr>
                <w:rFonts w:ascii="宋体" w:hAnsi="宋体" w:cs="宋体"/>
                <w:color w:val="000000"/>
                <w:kern w:val="0"/>
                <w:sz w:val="16"/>
                <w:szCs w:val="16"/>
              </w:rPr>
            </w:pPr>
            <w:r>
              <w:rPr>
                <w:rFonts w:hint="eastAsia" w:ascii="宋体" w:hAnsi="宋体" w:cs="宋体"/>
                <w:color w:val="000000"/>
                <w:kern w:val="0"/>
                <w:sz w:val="16"/>
                <w:szCs w:val="16"/>
              </w:rPr>
              <w:t>试验结果</w:t>
            </w:r>
          </w:p>
        </w:tc>
        <w:tc>
          <w:tcPr>
            <w:tcW w:w="1036" w:type="dxa"/>
            <w:vMerge w:val="restart"/>
            <w:shd w:val="clear" w:color="auto" w:fill="auto"/>
            <w:vAlign w:val="center"/>
          </w:tcPr>
          <w:p w14:paraId="57B9DD57">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106D324B">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关键项目均优于行业标准</w:t>
            </w:r>
          </w:p>
        </w:tc>
        <w:tc>
          <w:tcPr>
            <w:tcW w:w="456" w:type="dxa"/>
            <w:shd w:val="clear" w:color="000000" w:fill="D9D9D9"/>
            <w:vAlign w:val="center"/>
          </w:tcPr>
          <w:p w14:paraId="482F1900">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6</w:t>
            </w:r>
          </w:p>
        </w:tc>
        <w:tc>
          <w:tcPr>
            <w:tcW w:w="1043" w:type="dxa"/>
            <w:gridSpan w:val="2"/>
            <w:vMerge w:val="continue"/>
            <w:vAlign w:val="center"/>
          </w:tcPr>
          <w:p w14:paraId="51DEDFDA">
            <w:pPr>
              <w:widowControl/>
              <w:jc w:val="left"/>
              <w:rPr>
                <w:rFonts w:ascii="等线" w:hAnsi="等线" w:eastAsia="等线" w:cs="宋体"/>
                <w:color w:val="000000"/>
                <w:kern w:val="0"/>
                <w:sz w:val="16"/>
                <w:szCs w:val="16"/>
              </w:rPr>
            </w:pPr>
          </w:p>
        </w:tc>
      </w:tr>
      <w:bookmarkEnd w:id="50"/>
      <w:tr w14:paraId="01B1F9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7299148C">
            <w:pPr>
              <w:widowControl/>
              <w:jc w:val="left"/>
              <w:rPr>
                <w:rFonts w:ascii="等线" w:hAnsi="等线" w:eastAsia="等线" w:cs="宋体"/>
                <w:color w:val="000000"/>
                <w:kern w:val="0"/>
                <w:sz w:val="16"/>
                <w:szCs w:val="16"/>
              </w:rPr>
            </w:pPr>
          </w:p>
        </w:tc>
        <w:tc>
          <w:tcPr>
            <w:tcW w:w="830" w:type="dxa"/>
            <w:vMerge w:val="continue"/>
            <w:vAlign w:val="center"/>
          </w:tcPr>
          <w:p w14:paraId="75B63551">
            <w:pPr>
              <w:widowControl/>
              <w:jc w:val="left"/>
              <w:rPr>
                <w:rFonts w:ascii="宋体" w:hAnsi="宋体" w:cs="宋体"/>
                <w:color w:val="000000"/>
                <w:kern w:val="0"/>
                <w:sz w:val="16"/>
                <w:szCs w:val="16"/>
              </w:rPr>
            </w:pPr>
          </w:p>
        </w:tc>
        <w:tc>
          <w:tcPr>
            <w:tcW w:w="988" w:type="dxa"/>
            <w:vMerge w:val="continue"/>
            <w:vAlign w:val="center"/>
          </w:tcPr>
          <w:p w14:paraId="6A286B5F">
            <w:pPr>
              <w:widowControl/>
              <w:jc w:val="left"/>
              <w:rPr>
                <w:rFonts w:ascii="宋体" w:hAnsi="宋体" w:cs="宋体"/>
                <w:color w:val="000000"/>
                <w:kern w:val="0"/>
                <w:sz w:val="16"/>
                <w:szCs w:val="16"/>
              </w:rPr>
            </w:pPr>
          </w:p>
        </w:tc>
        <w:tc>
          <w:tcPr>
            <w:tcW w:w="1081" w:type="dxa"/>
            <w:vMerge w:val="continue"/>
            <w:vAlign w:val="center"/>
          </w:tcPr>
          <w:p w14:paraId="2BABFA99">
            <w:pPr>
              <w:widowControl/>
              <w:jc w:val="left"/>
              <w:rPr>
                <w:rFonts w:ascii="宋体" w:hAnsi="宋体" w:cs="宋体"/>
                <w:color w:val="000000"/>
                <w:kern w:val="0"/>
                <w:sz w:val="16"/>
                <w:szCs w:val="16"/>
              </w:rPr>
            </w:pPr>
          </w:p>
        </w:tc>
        <w:tc>
          <w:tcPr>
            <w:tcW w:w="1240" w:type="dxa"/>
            <w:vMerge w:val="continue"/>
            <w:vAlign w:val="center"/>
          </w:tcPr>
          <w:p w14:paraId="7FB98650">
            <w:pPr>
              <w:widowControl/>
              <w:jc w:val="left"/>
              <w:rPr>
                <w:rFonts w:ascii="宋体" w:hAnsi="宋体" w:cs="宋体"/>
                <w:color w:val="000000"/>
                <w:kern w:val="0"/>
                <w:sz w:val="16"/>
                <w:szCs w:val="16"/>
              </w:rPr>
            </w:pPr>
          </w:p>
        </w:tc>
        <w:tc>
          <w:tcPr>
            <w:tcW w:w="1036" w:type="dxa"/>
            <w:vMerge w:val="continue"/>
            <w:vAlign w:val="center"/>
          </w:tcPr>
          <w:p w14:paraId="0B6296E3">
            <w:pPr>
              <w:widowControl/>
              <w:jc w:val="left"/>
              <w:rPr>
                <w:rFonts w:ascii="宋体" w:hAnsi="宋体" w:cs="宋体"/>
                <w:color w:val="000000"/>
                <w:kern w:val="0"/>
                <w:sz w:val="16"/>
                <w:szCs w:val="16"/>
              </w:rPr>
            </w:pPr>
          </w:p>
        </w:tc>
        <w:tc>
          <w:tcPr>
            <w:tcW w:w="2148" w:type="dxa"/>
            <w:shd w:val="clear" w:color="auto" w:fill="auto"/>
            <w:vAlign w:val="center"/>
          </w:tcPr>
          <w:p w14:paraId="604344A0">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部分关键项目优于行业标准，其余优于国家标准</w:t>
            </w:r>
          </w:p>
        </w:tc>
        <w:tc>
          <w:tcPr>
            <w:tcW w:w="456" w:type="dxa"/>
            <w:shd w:val="clear" w:color="auto" w:fill="auto"/>
            <w:vAlign w:val="center"/>
          </w:tcPr>
          <w:p w14:paraId="0FAC96E1">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3</w:t>
            </w:r>
          </w:p>
        </w:tc>
        <w:tc>
          <w:tcPr>
            <w:tcW w:w="1043" w:type="dxa"/>
            <w:gridSpan w:val="2"/>
            <w:vMerge w:val="continue"/>
            <w:vAlign w:val="center"/>
          </w:tcPr>
          <w:p w14:paraId="6B24E6AA">
            <w:pPr>
              <w:widowControl/>
              <w:jc w:val="left"/>
              <w:rPr>
                <w:rFonts w:ascii="等线" w:hAnsi="等线" w:eastAsia="等线" w:cs="宋体"/>
                <w:color w:val="000000"/>
                <w:kern w:val="0"/>
                <w:sz w:val="16"/>
                <w:szCs w:val="16"/>
              </w:rPr>
            </w:pPr>
          </w:p>
        </w:tc>
      </w:tr>
      <w:tr w14:paraId="197950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7257B4C3">
            <w:pPr>
              <w:widowControl/>
              <w:jc w:val="left"/>
              <w:rPr>
                <w:rFonts w:ascii="等线" w:hAnsi="等线" w:eastAsia="等线" w:cs="宋体"/>
                <w:color w:val="000000"/>
                <w:kern w:val="0"/>
                <w:sz w:val="16"/>
                <w:szCs w:val="16"/>
              </w:rPr>
            </w:pPr>
          </w:p>
        </w:tc>
        <w:tc>
          <w:tcPr>
            <w:tcW w:w="830" w:type="dxa"/>
            <w:vMerge w:val="continue"/>
            <w:vAlign w:val="center"/>
          </w:tcPr>
          <w:p w14:paraId="29BE95DA">
            <w:pPr>
              <w:widowControl/>
              <w:jc w:val="left"/>
              <w:rPr>
                <w:rFonts w:ascii="宋体" w:hAnsi="宋体" w:cs="宋体"/>
                <w:color w:val="000000"/>
                <w:kern w:val="0"/>
                <w:sz w:val="16"/>
                <w:szCs w:val="16"/>
              </w:rPr>
            </w:pPr>
          </w:p>
        </w:tc>
        <w:tc>
          <w:tcPr>
            <w:tcW w:w="988" w:type="dxa"/>
            <w:vMerge w:val="continue"/>
            <w:vAlign w:val="center"/>
          </w:tcPr>
          <w:p w14:paraId="0F878D29">
            <w:pPr>
              <w:widowControl/>
              <w:jc w:val="left"/>
              <w:rPr>
                <w:rFonts w:ascii="宋体" w:hAnsi="宋体" w:cs="宋体"/>
                <w:color w:val="000000"/>
                <w:kern w:val="0"/>
                <w:sz w:val="16"/>
                <w:szCs w:val="16"/>
              </w:rPr>
            </w:pPr>
          </w:p>
        </w:tc>
        <w:tc>
          <w:tcPr>
            <w:tcW w:w="1081" w:type="dxa"/>
            <w:vMerge w:val="continue"/>
            <w:vAlign w:val="center"/>
          </w:tcPr>
          <w:p w14:paraId="5E3F23E0">
            <w:pPr>
              <w:widowControl/>
              <w:jc w:val="left"/>
              <w:rPr>
                <w:rFonts w:ascii="宋体" w:hAnsi="宋体" w:cs="宋体"/>
                <w:color w:val="000000"/>
                <w:kern w:val="0"/>
                <w:sz w:val="16"/>
                <w:szCs w:val="16"/>
              </w:rPr>
            </w:pPr>
          </w:p>
        </w:tc>
        <w:tc>
          <w:tcPr>
            <w:tcW w:w="1240" w:type="dxa"/>
            <w:vMerge w:val="continue"/>
            <w:vAlign w:val="center"/>
          </w:tcPr>
          <w:p w14:paraId="37503B3E">
            <w:pPr>
              <w:widowControl/>
              <w:jc w:val="left"/>
              <w:rPr>
                <w:rFonts w:ascii="宋体" w:hAnsi="宋体" w:cs="宋体"/>
                <w:color w:val="000000"/>
                <w:kern w:val="0"/>
                <w:sz w:val="16"/>
                <w:szCs w:val="16"/>
              </w:rPr>
            </w:pPr>
          </w:p>
        </w:tc>
        <w:tc>
          <w:tcPr>
            <w:tcW w:w="1036" w:type="dxa"/>
            <w:vMerge w:val="continue"/>
            <w:vAlign w:val="center"/>
          </w:tcPr>
          <w:p w14:paraId="1BFD7E76">
            <w:pPr>
              <w:widowControl/>
              <w:jc w:val="left"/>
              <w:rPr>
                <w:rFonts w:ascii="宋体" w:hAnsi="宋体" w:cs="宋体"/>
                <w:color w:val="000000"/>
                <w:kern w:val="0"/>
                <w:sz w:val="16"/>
                <w:szCs w:val="16"/>
              </w:rPr>
            </w:pPr>
          </w:p>
        </w:tc>
        <w:tc>
          <w:tcPr>
            <w:tcW w:w="2148" w:type="dxa"/>
            <w:shd w:val="clear" w:color="auto" w:fill="auto"/>
            <w:vAlign w:val="center"/>
          </w:tcPr>
          <w:p w14:paraId="66E92C89">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关键项目仅优于国家标准</w:t>
            </w:r>
          </w:p>
        </w:tc>
        <w:tc>
          <w:tcPr>
            <w:tcW w:w="456" w:type="dxa"/>
            <w:shd w:val="clear" w:color="auto" w:fill="auto"/>
            <w:vAlign w:val="center"/>
          </w:tcPr>
          <w:p w14:paraId="1A5E8267">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w:t>
            </w:r>
          </w:p>
        </w:tc>
        <w:tc>
          <w:tcPr>
            <w:tcW w:w="1043" w:type="dxa"/>
            <w:gridSpan w:val="2"/>
            <w:vMerge w:val="continue"/>
            <w:vAlign w:val="center"/>
          </w:tcPr>
          <w:p w14:paraId="36BD5BD8">
            <w:pPr>
              <w:widowControl/>
              <w:jc w:val="left"/>
              <w:rPr>
                <w:rFonts w:ascii="等线" w:hAnsi="等线" w:eastAsia="等线" w:cs="宋体"/>
                <w:color w:val="000000"/>
                <w:kern w:val="0"/>
                <w:sz w:val="16"/>
                <w:szCs w:val="16"/>
              </w:rPr>
            </w:pPr>
          </w:p>
        </w:tc>
      </w:tr>
      <w:tr w14:paraId="32007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80" w:type="dxa"/>
            <w:vMerge w:val="continue"/>
            <w:vAlign w:val="center"/>
          </w:tcPr>
          <w:p w14:paraId="23AC33C7">
            <w:pPr>
              <w:widowControl/>
              <w:jc w:val="left"/>
              <w:rPr>
                <w:rFonts w:ascii="等线" w:hAnsi="等线" w:eastAsia="等线" w:cs="宋体"/>
                <w:color w:val="000000"/>
                <w:kern w:val="0"/>
                <w:sz w:val="16"/>
                <w:szCs w:val="16"/>
              </w:rPr>
            </w:pPr>
          </w:p>
        </w:tc>
        <w:tc>
          <w:tcPr>
            <w:tcW w:w="830" w:type="dxa"/>
            <w:vMerge w:val="continue"/>
            <w:vAlign w:val="center"/>
          </w:tcPr>
          <w:p w14:paraId="204B1AC9">
            <w:pPr>
              <w:widowControl/>
              <w:jc w:val="left"/>
              <w:rPr>
                <w:rFonts w:ascii="宋体" w:hAnsi="宋体" w:cs="宋体"/>
                <w:color w:val="000000"/>
                <w:kern w:val="0"/>
                <w:sz w:val="16"/>
                <w:szCs w:val="16"/>
              </w:rPr>
            </w:pPr>
          </w:p>
        </w:tc>
        <w:tc>
          <w:tcPr>
            <w:tcW w:w="988" w:type="dxa"/>
            <w:vMerge w:val="continue"/>
            <w:vAlign w:val="center"/>
          </w:tcPr>
          <w:p w14:paraId="7C4F520E">
            <w:pPr>
              <w:widowControl/>
              <w:jc w:val="left"/>
              <w:rPr>
                <w:rFonts w:ascii="宋体" w:hAnsi="宋体" w:cs="宋体"/>
                <w:color w:val="000000"/>
                <w:kern w:val="0"/>
                <w:sz w:val="16"/>
                <w:szCs w:val="16"/>
              </w:rPr>
            </w:pPr>
          </w:p>
        </w:tc>
        <w:tc>
          <w:tcPr>
            <w:tcW w:w="1081" w:type="dxa"/>
            <w:vMerge w:val="continue"/>
            <w:vAlign w:val="center"/>
          </w:tcPr>
          <w:p w14:paraId="0A0BD667">
            <w:pPr>
              <w:widowControl/>
              <w:jc w:val="left"/>
              <w:rPr>
                <w:rFonts w:ascii="宋体" w:hAnsi="宋体" w:cs="宋体"/>
                <w:color w:val="000000"/>
                <w:kern w:val="0"/>
                <w:sz w:val="16"/>
                <w:szCs w:val="16"/>
              </w:rPr>
            </w:pPr>
          </w:p>
        </w:tc>
        <w:tc>
          <w:tcPr>
            <w:tcW w:w="1240" w:type="dxa"/>
            <w:vMerge w:val="continue"/>
            <w:vAlign w:val="center"/>
          </w:tcPr>
          <w:p w14:paraId="032CF5E1">
            <w:pPr>
              <w:widowControl/>
              <w:jc w:val="left"/>
              <w:rPr>
                <w:rFonts w:ascii="宋体" w:hAnsi="宋体" w:cs="宋体"/>
                <w:color w:val="000000"/>
                <w:kern w:val="0"/>
                <w:sz w:val="16"/>
                <w:szCs w:val="16"/>
              </w:rPr>
            </w:pPr>
          </w:p>
        </w:tc>
        <w:tc>
          <w:tcPr>
            <w:tcW w:w="1036" w:type="dxa"/>
            <w:vMerge w:val="continue"/>
            <w:vAlign w:val="center"/>
          </w:tcPr>
          <w:p w14:paraId="6EE15EA6">
            <w:pPr>
              <w:widowControl/>
              <w:jc w:val="left"/>
              <w:rPr>
                <w:rFonts w:ascii="宋体" w:hAnsi="宋体" w:cs="宋体"/>
                <w:color w:val="000000"/>
                <w:kern w:val="0"/>
                <w:sz w:val="16"/>
                <w:szCs w:val="16"/>
              </w:rPr>
            </w:pPr>
          </w:p>
        </w:tc>
        <w:tc>
          <w:tcPr>
            <w:tcW w:w="2148" w:type="dxa"/>
            <w:shd w:val="clear" w:color="auto" w:fill="auto"/>
            <w:vAlign w:val="center"/>
          </w:tcPr>
          <w:p w14:paraId="56F90310">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关键项目仅达到国家标准合格要求</w:t>
            </w:r>
          </w:p>
        </w:tc>
        <w:tc>
          <w:tcPr>
            <w:tcW w:w="456" w:type="dxa"/>
            <w:shd w:val="clear" w:color="auto" w:fill="auto"/>
            <w:vAlign w:val="center"/>
          </w:tcPr>
          <w:p w14:paraId="29F757DA">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1</w:t>
            </w:r>
          </w:p>
        </w:tc>
        <w:tc>
          <w:tcPr>
            <w:tcW w:w="1043" w:type="dxa"/>
            <w:gridSpan w:val="2"/>
            <w:vMerge w:val="continue"/>
            <w:vAlign w:val="center"/>
          </w:tcPr>
          <w:p w14:paraId="10F21446">
            <w:pPr>
              <w:widowControl/>
              <w:jc w:val="left"/>
              <w:rPr>
                <w:rFonts w:ascii="等线" w:hAnsi="等线" w:eastAsia="等线" w:cs="宋体"/>
                <w:color w:val="000000"/>
                <w:kern w:val="0"/>
                <w:sz w:val="16"/>
                <w:szCs w:val="16"/>
              </w:rPr>
            </w:pPr>
          </w:p>
        </w:tc>
      </w:tr>
      <w:tr w14:paraId="5BA409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80" w:type="dxa"/>
            <w:vMerge w:val="continue"/>
            <w:vAlign w:val="center"/>
          </w:tcPr>
          <w:p w14:paraId="03AAC6AB">
            <w:pPr>
              <w:widowControl/>
              <w:jc w:val="left"/>
              <w:rPr>
                <w:rFonts w:ascii="等线" w:hAnsi="等线" w:eastAsia="等线" w:cs="宋体"/>
                <w:color w:val="000000"/>
                <w:kern w:val="0"/>
                <w:sz w:val="16"/>
                <w:szCs w:val="16"/>
              </w:rPr>
            </w:pPr>
          </w:p>
        </w:tc>
        <w:tc>
          <w:tcPr>
            <w:tcW w:w="830" w:type="dxa"/>
            <w:vMerge w:val="continue"/>
            <w:vAlign w:val="center"/>
          </w:tcPr>
          <w:p w14:paraId="49944A70">
            <w:pPr>
              <w:widowControl/>
              <w:jc w:val="left"/>
              <w:rPr>
                <w:rFonts w:ascii="宋体" w:hAnsi="宋体" w:cs="宋体"/>
                <w:color w:val="000000"/>
                <w:kern w:val="0"/>
                <w:sz w:val="16"/>
                <w:szCs w:val="16"/>
              </w:rPr>
            </w:pPr>
          </w:p>
        </w:tc>
        <w:tc>
          <w:tcPr>
            <w:tcW w:w="988" w:type="dxa"/>
            <w:vMerge w:val="restart"/>
            <w:shd w:val="clear" w:color="auto" w:fill="auto"/>
            <w:vAlign w:val="center"/>
          </w:tcPr>
          <w:p w14:paraId="58F88CFE">
            <w:pPr>
              <w:widowControl/>
              <w:jc w:val="center"/>
              <w:rPr>
                <w:rFonts w:ascii="宋体" w:hAnsi="宋体" w:cs="宋体"/>
                <w:color w:val="000000"/>
                <w:kern w:val="0"/>
                <w:sz w:val="16"/>
                <w:szCs w:val="16"/>
              </w:rPr>
            </w:pPr>
            <w:r>
              <w:rPr>
                <w:rFonts w:hint="eastAsia" w:ascii="宋体" w:hAnsi="宋体" w:cs="宋体"/>
                <w:color w:val="000000"/>
                <w:kern w:val="0"/>
                <w:sz w:val="16"/>
                <w:szCs w:val="16"/>
              </w:rPr>
              <w:t>生产能力</w:t>
            </w:r>
          </w:p>
        </w:tc>
        <w:tc>
          <w:tcPr>
            <w:tcW w:w="1081" w:type="dxa"/>
            <w:vMerge w:val="restart"/>
            <w:shd w:val="clear" w:color="auto" w:fill="auto"/>
            <w:vAlign w:val="center"/>
          </w:tcPr>
          <w:p w14:paraId="5245D21A">
            <w:pPr>
              <w:widowControl/>
              <w:jc w:val="center"/>
              <w:rPr>
                <w:rFonts w:ascii="宋体" w:hAnsi="宋体" w:cs="宋体"/>
                <w:color w:val="000000"/>
                <w:kern w:val="0"/>
                <w:sz w:val="16"/>
                <w:szCs w:val="16"/>
              </w:rPr>
            </w:pPr>
            <w:r>
              <w:rPr>
                <w:rFonts w:hint="eastAsia" w:ascii="宋体" w:hAnsi="宋体" w:cs="宋体"/>
                <w:color w:val="000000"/>
                <w:kern w:val="0"/>
                <w:sz w:val="16"/>
                <w:szCs w:val="16"/>
              </w:rPr>
              <w:t>工艺要求及控制</w:t>
            </w:r>
          </w:p>
        </w:tc>
        <w:tc>
          <w:tcPr>
            <w:tcW w:w="1240" w:type="dxa"/>
            <w:vMerge w:val="restart"/>
            <w:shd w:val="clear" w:color="auto" w:fill="auto"/>
            <w:vAlign w:val="center"/>
          </w:tcPr>
          <w:p w14:paraId="5B9A0383">
            <w:pPr>
              <w:widowControl/>
              <w:jc w:val="center"/>
              <w:rPr>
                <w:rFonts w:ascii="宋体" w:hAnsi="宋体" w:cs="宋体"/>
                <w:color w:val="000000"/>
                <w:kern w:val="0"/>
                <w:sz w:val="16"/>
                <w:szCs w:val="16"/>
              </w:rPr>
            </w:pPr>
            <w:r>
              <w:rPr>
                <w:rFonts w:hint="eastAsia" w:ascii="宋体" w:hAnsi="宋体" w:cs="宋体"/>
                <w:color w:val="000000"/>
                <w:kern w:val="0"/>
                <w:sz w:val="16"/>
                <w:szCs w:val="16"/>
              </w:rPr>
              <w:t>生产工艺</w:t>
            </w:r>
            <w:r>
              <w:rPr>
                <w:rFonts w:hint="eastAsia" w:ascii="宋体" w:hAnsi="宋体" w:cs="宋体"/>
                <w:color w:val="000000"/>
                <w:kern w:val="0"/>
                <w:sz w:val="16"/>
                <w:szCs w:val="16"/>
                <w:highlight w:val="none"/>
              </w:rPr>
              <w:t>要求</w:t>
            </w:r>
          </w:p>
        </w:tc>
        <w:tc>
          <w:tcPr>
            <w:tcW w:w="1036" w:type="dxa"/>
            <w:vMerge w:val="restart"/>
            <w:shd w:val="clear" w:color="auto" w:fill="auto"/>
            <w:vAlign w:val="center"/>
          </w:tcPr>
          <w:p w14:paraId="3E85B126">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29E9E29C">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highlight w:val="none"/>
              </w:rPr>
              <w:t>生产过程各工序工艺控制文件完整，并能充分体现工艺控制的</w:t>
            </w:r>
            <w:r>
              <w:rPr>
                <w:rFonts w:hint="eastAsia" w:ascii="宋体" w:hAnsi="宋体" w:cs="宋体"/>
                <w:color w:val="000000"/>
                <w:kern w:val="0"/>
                <w:sz w:val="16"/>
                <w:szCs w:val="16"/>
              </w:rPr>
              <w:t>可靠性、维修性、保障性、测试性、安全性等要求。</w:t>
            </w:r>
          </w:p>
        </w:tc>
        <w:tc>
          <w:tcPr>
            <w:tcW w:w="456" w:type="dxa"/>
            <w:shd w:val="clear" w:color="000000" w:fill="D9D9D9"/>
            <w:vAlign w:val="center"/>
          </w:tcPr>
          <w:p w14:paraId="0CA7526B">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r>
              <w:rPr>
                <w:rFonts w:ascii="黑体" w:hAnsi="黑体" w:eastAsia="黑体" w:cs="宋体"/>
                <w:color w:val="000000"/>
                <w:kern w:val="0"/>
                <w:sz w:val="16"/>
                <w:szCs w:val="16"/>
              </w:rPr>
              <w:t>5</w:t>
            </w:r>
          </w:p>
        </w:tc>
        <w:tc>
          <w:tcPr>
            <w:tcW w:w="1043" w:type="dxa"/>
            <w:gridSpan w:val="2"/>
            <w:vMerge w:val="continue"/>
            <w:vAlign w:val="center"/>
          </w:tcPr>
          <w:p w14:paraId="0A117AE3">
            <w:pPr>
              <w:widowControl/>
              <w:jc w:val="left"/>
              <w:rPr>
                <w:rFonts w:ascii="等线" w:hAnsi="等线" w:eastAsia="等线" w:cs="宋体"/>
                <w:color w:val="000000"/>
                <w:kern w:val="0"/>
                <w:sz w:val="16"/>
                <w:szCs w:val="16"/>
              </w:rPr>
            </w:pPr>
          </w:p>
        </w:tc>
      </w:tr>
      <w:tr w14:paraId="080F4F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80" w:type="dxa"/>
            <w:vMerge w:val="continue"/>
            <w:vAlign w:val="center"/>
          </w:tcPr>
          <w:p w14:paraId="3F18747B">
            <w:pPr>
              <w:widowControl/>
              <w:jc w:val="left"/>
              <w:rPr>
                <w:rFonts w:ascii="等线" w:hAnsi="等线" w:eastAsia="等线" w:cs="宋体"/>
                <w:color w:val="000000"/>
                <w:kern w:val="0"/>
                <w:sz w:val="16"/>
                <w:szCs w:val="16"/>
              </w:rPr>
            </w:pPr>
          </w:p>
        </w:tc>
        <w:tc>
          <w:tcPr>
            <w:tcW w:w="830" w:type="dxa"/>
            <w:vMerge w:val="continue"/>
            <w:vAlign w:val="center"/>
          </w:tcPr>
          <w:p w14:paraId="28397451">
            <w:pPr>
              <w:widowControl/>
              <w:jc w:val="left"/>
              <w:rPr>
                <w:rFonts w:ascii="宋体" w:hAnsi="宋体" w:cs="宋体"/>
                <w:color w:val="000000"/>
                <w:kern w:val="0"/>
                <w:sz w:val="16"/>
                <w:szCs w:val="16"/>
              </w:rPr>
            </w:pPr>
          </w:p>
        </w:tc>
        <w:tc>
          <w:tcPr>
            <w:tcW w:w="988" w:type="dxa"/>
            <w:vMerge w:val="continue"/>
            <w:vAlign w:val="center"/>
          </w:tcPr>
          <w:p w14:paraId="3F3014E7">
            <w:pPr>
              <w:widowControl/>
              <w:jc w:val="left"/>
              <w:rPr>
                <w:rFonts w:ascii="宋体" w:hAnsi="宋体" w:cs="宋体"/>
                <w:color w:val="000000"/>
                <w:kern w:val="0"/>
                <w:sz w:val="16"/>
                <w:szCs w:val="16"/>
              </w:rPr>
            </w:pPr>
          </w:p>
        </w:tc>
        <w:tc>
          <w:tcPr>
            <w:tcW w:w="1081" w:type="dxa"/>
            <w:vMerge w:val="continue"/>
            <w:vAlign w:val="center"/>
          </w:tcPr>
          <w:p w14:paraId="329EB4B7">
            <w:pPr>
              <w:widowControl/>
              <w:jc w:val="left"/>
              <w:rPr>
                <w:rFonts w:ascii="宋体" w:hAnsi="宋体" w:cs="宋体"/>
                <w:color w:val="000000"/>
                <w:kern w:val="0"/>
                <w:sz w:val="16"/>
                <w:szCs w:val="16"/>
                <w:highlight w:val="yellow"/>
              </w:rPr>
            </w:pPr>
          </w:p>
        </w:tc>
        <w:tc>
          <w:tcPr>
            <w:tcW w:w="1240" w:type="dxa"/>
            <w:vMerge w:val="continue"/>
            <w:vAlign w:val="center"/>
          </w:tcPr>
          <w:p w14:paraId="0D879F4F">
            <w:pPr>
              <w:widowControl/>
              <w:jc w:val="left"/>
              <w:rPr>
                <w:rFonts w:ascii="宋体" w:hAnsi="宋体" w:cs="宋体"/>
                <w:color w:val="000000"/>
                <w:kern w:val="0"/>
                <w:sz w:val="16"/>
                <w:szCs w:val="16"/>
                <w:highlight w:val="yellow"/>
              </w:rPr>
            </w:pPr>
          </w:p>
        </w:tc>
        <w:tc>
          <w:tcPr>
            <w:tcW w:w="1036" w:type="dxa"/>
            <w:vMerge w:val="continue"/>
            <w:vAlign w:val="center"/>
          </w:tcPr>
          <w:p w14:paraId="26F75079">
            <w:pPr>
              <w:widowControl/>
              <w:jc w:val="left"/>
              <w:rPr>
                <w:rFonts w:ascii="宋体" w:hAnsi="宋体" w:cs="宋体"/>
                <w:color w:val="000000"/>
                <w:kern w:val="0"/>
                <w:sz w:val="16"/>
                <w:szCs w:val="16"/>
                <w:highlight w:val="yellow"/>
              </w:rPr>
            </w:pPr>
          </w:p>
        </w:tc>
        <w:tc>
          <w:tcPr>
            <w:tcW w:w="2148" w:type="dxa"/>
            <w:shd w:val="clear" w:color="auto" w:fill="auto"/>
            <w:vAlign w:val="center"/>
          </w:tcPr>
          <w:p w14:paraId="78D70353">
            <w:pPr>
              <w:widowControl/>
              <w:spacing w:line="300" w:lineRule="exact"/>
              <w:jc w:val="left"/>
              <w:rPr>
                <w:rFonts w:ascii="宋体" w:hAnsi="宋体" w:cs="宋体"/>
                <w:color w:val="000000"/>
                <w:kern w:val="0"/>
                <w:sz w:val="16"/>
                <w:szCs w:val="16"/>
                <w:highlight w:val="yellow"/>
              </w:rPr>
            </w:pPr>
            <w:r>
              <w:rPr>
                <w:rFonts w:hint="eastAsia" w:ascii="宋体" w:hAnsi="宋体" w:cs="宋体"/>
                <w:color w:val="000000"/>
                <w:kern w:val="0"/>
                <w:sz w:val="16"/>
                <w:szCs w:val="16"/>
              </w:rPr>
              <w:t>生产过程各工序工艺控制文件，但不能完全体现工艺控制的可靠性、维修性、保障性、测试性、安全性等要求。</w:t>
            </w:r>
          </w:p>
        </w:tc>
        <w:tc>
          <w:tcPr>
            <w:tcW w:w="456" w:type="dxa"/>
            <w:shd w:val="clear" w:color="auto" w:fill="auto"/>
            <w:vAlign w:val="center"/>
          </w:tcPr>
          <w:p w14:paraId="6BA79165">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10</w:t>
            </w:r>
          </w:p>
        </w:tc>
        <w:tc>
          <w:tcPr>
            <w:tcW w:w="1043" w:type="dxa"/>
            <w:gridSpan w:val="2"/>
            <w:vMerge w:val="continue"/>
            <w:vAlign w:val="center"/>
          </w:tcPr>
          <w:p w14:paraId="1681AE7B">
            <w:pPr>
              <w:widowControl/>
              <w:jc w:val="left"/>
              <w:rPr>
                <w:rFonts w:ascii="等线" w:hAnsi="等线" w:eastAsia="等线" w:cs="宋体"/>
                <w:color w:val="000000"/>
                <w:kern w:val="0"/>
                <w:sz w:val="16"/>
                <w:szCs w:val="16"/>
              </w:rPr>
            </w:pPr>
          </w:p>
        </w:tc>
      </w:tr>
      <w:tr w14:paraId="64441C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80" w:type="dxa"/>
            <w:vMerge w:val="continue"/>
            <w:vAlign w:val="center"/>
          </w:tcPr>
          <w:p w14:paraId="4E6E3D4F">
            <w:pPr>
              <w:widowControl/>
              <w:jc w:val="left"/>
              <w:rPr>
                <w:rFonts w:ascii="等线" w:hAnsi="等线" w:eastAsia="等线" w:cs="宋体"/>
                <w:color w:val="000000"/>
                <w:kern w:val="0"/>
                <w:sz w:val="16"/>
                <w:szCs w:val="16"/>
              </w:rPr>
            </w:pPr>
          </w:p>
        </w:tc>
        <w:tc>
          <w:tcPr>
            <w:tcW w:w="830" w:type="dxa"/>
            <w:vMerge w:val="continue"/>
            <w:vAlign w:val="center"/>
          </w:tcPr>
          <w:p w14:paraId="7632E287">
            <w:pPr>
              <w:widowControl/>
              <w:jc w:val="left"/>
              <w:rPr>
                <w:rFonts w:ascii="宋体" w:hAnsi="宋体" w:cs="宋体"/>
                <w:color w:val="000000"/>
                <w:kern w:val="0"/>
                <w:sz w:val="16"/>
                <w:szCs w:val="16"/>
              </w:rPr>
            </w:pPr>
          </w:p>
        </w:tc>
        <w:tc>
          <w:tcPr>
            <w:tcW w:w="988" w:type="dxa"/>
            <w:vMerge w:val="continue"/>
            <w:vAlign w:val="center"/>
          </w:tcPr>
          <w:p w14:paraId="1929454A">
            <w:pPr>
              <w:widowControl/>
              <w:jc w:val="left"/>
              <w:rPr>
                <w:rFonts w:ascii="宋体" w:hAnsi="宋体" w:cs="宋体"/>
                <w:color w:val="000000"/>
                <w:kern w:val="0"/>
                <w:sz w:val="16"/>
                <w:szCs w:val="16"/>
              </w:rPr>
            </w:pPr>
          </w:p>
        </w:tc>
        <w:tc>
          <w:tcPr>
            <w:tcW w:w="1081" w:type="dxa"/>
            <w:vMerge w:val="continue"/>
            <w:vAlign w:val="center"/>
          </w:tcPr>
          <w:p w14:paraId="5F53DF41">
            <w:pPr>
              <w:widowControl/>
              <w:jc w:val="left"/>
              <w:rPr>
                <w:rFonts w:ascii="宋体" w:hAnsi="宋体" w:cs="宋体"/>
                <w:color w:val="000000"/>
                <w:kern w:val="0"/>
                <w:sz w:val="16"/>
                <w:szCs w:val="16"/>
                <w:highlight w:val="yellow"/>
              </w:rPr>
            </w:pPr>
          </w:p>
        </w:tc>
        <w:tc>
          <w:tcPr>
            <w:tcW w:w="1240" w:type="dxa"/>
            <w:vMerge w:val="continue"/>
            <w:vAlign w:val="center"/>
          </w:tcPr>
          <w:p w14:paraId="2FA8A35F">
            <w:pPr>
              <w:widowControl/>
              <w:jc w:val="left"/>
              <w:rPr>
                <w:rFonts w:ascii="宋体" w:hAnsi="宋体" w:cs="宋体"/>
                <w:color w:val="000000"/>
                <w:kern w:val="0"/>
                <w:sz w:val="16"/>
                <w:szCs w:val="16"/>
                <w:highlight w:val="yellow"/>
              </w:rPr>
            </w:pPr>
          </w:p>
        </w:tc>
        <w:tc>
          <w:tcPr>
            <w:tcW w:w="1036" w:type="dxa"/>
            <w:vMerge w:val="continue"/>
            <w:vAlign w:val="center"/>
          </w:tcPr>
          <w:p w14:paraId="7390366B">
            <w:pPr>
              <w:widowControl/>
              <w:jc w:val="left"/>
              <w:rPr>
                <w:rFonts w:ascii="宋体" w:hAnsi="宋体" w:cs="宋体"/>
                <w:color w:val="000000"/>
                <w:kern w:val="0"/>
                <w:sz w:val="16"/>
                <w:szCs w:val="16"/>
                <w:highlight w:val="yellow"/>
              </w:rPr>
            </w:pPr>
          </w:p>
        </w:tc>
        <w:tc>
          <w:tcPr>
            <w:tcW w:w="2148" w:type="dxa"/>
            <w:shd w:val="clear" w:color="auto" w:fill="auto"/>
            <w:vAlign w:val="center"/>
          </w:tcPr>
          <w:p w14:paraId="7E84AEF0">
            <w:pPr>
              <w:widowControl/>
              <w:spacing w:line="300" w:lineRule="exact"/>
              <w:jc w:val="left"/>
              <w:rPr>
                <w:rFonts w:ascii="宋体" w:hAnsi="宋体" w:cs="宋体"/>
                <w:color w:val="000000"/>
                <w:kern w:val="0"/>
                <w:sz w:val="16"/>
                <w:szCs w:val="16"/>
                <w:highlight w:val="yellow"/>
              </w:rPr>
            </w:pPr>
            <w:r>
              <w:rPr>
                <w:rFonts w:hint="eastAsia" w:ascii="宋体" w:hAnsi="宋体" w:cs="宋体"/>
                <w:color w:val="000000"/>
                <w:kern w:val="0"/>
                <w:sz w:val="16"/>
                <w:szCs w:val="16"/>
              </w:rPr>
              <w:t>生产过程关键工序工艺控制文件完整，但不能完全体现工艺控制的可靠性、维修性、保障性、测试性、安全性等要求。</w:t>
            </w:r>
          </w:p>
        </w:tc>
        <w:tc>
          <w:tcPr>
            <w:tcW w:w="456" w:type="dxa"/>
            <w:shd w:val="clear" w:color="auto" w:fill="auto"/>
            <w:vAlign w:val="center"/>
          </w:tcPr>
          <w:p w14:paraId="433827FF">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5</w:t>
            </w:r>
          </w:p>
        </w:tc>
        <w:tc>
          <w:tcPr>
            <w:tcW w:w="1043" w:type="dxa"/>
            <w:gridSpan w:val="2"/>
            <w:vMerge w:val="continue"/>
            <w:vAlign w:val="center"/>
          </w:tcPr>
          <w:p w14:paraId="5C633063">
            <w:pPr>
              <w:widowControl/>
              <w:jc w:val="left"/>
              <w:rPr>
                <w:rFonts w:ascii="等线" w:hAnsi="等线" w:eastAsia="等线" w:cs="宋体"/>
                <w:color w:val="000000"/>
                <w:kern w:val="0"/>
                <w:sz w:val="16"/>
                <w:szCs w:val="16"/>
              </w:rPr>
            </w:pPr>
          </w:p>
        </w:tc>
      </w:tr>
      <w:tr w14:paraId="1C273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80" w:type="dxa"/>
            <w:vMerge w:val="continue"/>
            <w:vAlign w:val="center"/>
          </w:tcPr>
          <w:p w14:paraId="23F819D9">
            <w:pPr>
              <w:widowControl/>
              <w:jc w:val="left"/>
              <w:rPr>
                <w:rFonts w:ascii="等线" w:hAnsi="等线" w:eastAsia="等线" w:cs="宋体"/>
                <w:color w:val="000000"/>
                <w:kern w:val="0"/>
                <w:sz w:val="16"/>
                <w:szCs w:val="16"/>
              </w:rPr>
            </w:pPr>
          </w:p>
        </w:tc>
        <w:tc>
          <w:tcPr>
            <w:tcW w:w="830" w:type="dxa"/>
            <w:vMerge w:val="continue"/>
            <w:vAlign w:val="center"/>
          </w:tcPr>
          <w:p w14:paraId="000456FA">
            <w:pPr>
              <w:widowControl/>
              <w:jc w:val="left"/>
              <w:rPr>
                <w:rFonts w:ascii="宋体" w:hAnsi="宋体" w:cs="宋体"/>
                <w:color w:val="000000"/>
                <w:kern w:val="0"/>
                <w:sz w:val="16"/>
                <w:szCs w:val="16"/>
              </w:rPr>
            </w:pPr>
          </w:p>
        </w:tc>
        <w:tc>
          <w:tcPr>
            <w:tcW w:w="988" w:type="dxa"/>
            <w:vMerge w:val="continue"/>
            <w:vAlign w:val="center"/>
          </w:tcPr>
          <w:p w14:paraId="418970B0">
            <w:pPr>
              <w:widowControl/>
              <w:jc w:val="left"/>
              <w:rPr>
                <w:rFonts w:ascii="宋体" w:hAnsi="宋体" w:cs="宋体"/>
                <w:color w:val="000000"/>
                <w:kern w:val="0"/>
                <w:sz w:val="16"/>
                <w:szCs w:val="16"/>
              </w:rPr>
            </w:pPr>
          </w:p>
        </w:tc>
        <w:tc>
          <w:tcPr>
            <w:tcW w:w="1081" w:type="dxa"/>
            <w:vMerge w:val="continue"/>
            <w:vAlign w:val="center"/>
          </w:tcPr>
          <w:p w14:paraId="50B4EECC">
            <w:pPr>
              <w:widowControl/>
              <w:jc w:val="left"/>
              <w:rPr>
                <w:rFonts w:ascii="宋体" w:hAnsi="宋体" w:cs="宋体"/>
                <w:color w:val="000000"/>
                <w:kern w:val="0"/>
                <w:sz w:val="16"/>
                <w:szCs w:val="16"/>
                <w:highlight w:val="yellow"/>
              </w:rPr>
            </w:pPr>
          </w:p>
        </w:tc>
        <w:tc>
          <w:tcPr>
            <w:tcW w:w="1240" w:type="dxa"/>
            <w:vMerge w:val="continue"/>
            <w:vAlign w:val="center"/>
          </w:tcPr>
          <w:p w14:paraId="4839EE29">
            <w:pPr>
              <w:widowControl/>
              <w:jc w:val="left"/>
              <w:rPr>
                <w:rFonts w:ascii="宋体" w:hAnsi="宋体" w:cs="宋体"/>
                <w:color w:val="000000"/>
                <w:kern w:val="0"/>
                <w:sz w:val="16"/>
                <w:szCs w:val="16"/>
                <w:highlight w:val="yellow"/>
              </w:rPr>
            </w:pPr>
          </w:p>
        </w:tc>
        <w:tc>
          <w:tcPr>
            <w:tcW w:w="1036" w:type="dxa"/>
            <w:vMerge w:val="continue"/>
            <w:vAlign w:val="center"/>
          </w:tcPr>
          <w:p w14:paraId="717283DE">
            <w:pPr>
              <w:widowControl/>
              <w:jc w:val="left"/>
              <w:rPr>
                <w:rFonts w:ascii="宋体" w:hAnsi="宋体" w:cs="宋体"/>
                <w:color w:val="000000"/>
                <w:kern w:val="0"/>
                <w:sz w:val="16"/>
                <w:szCs w:val="16"/>
                <w:highlight w:val="yellow"/>
              </w:rPr>
            </w:pPr>
          </w:p>
        </w:tc>
        <w:tc>
          <w:tcPr>
            <w:tcW w:w="2148" w:type="dxa"/>
            <w:shd w:val="clear" w:color="auto" w:fill="auto"/>
            <w:vAlign w:val="center"/>
          </w:tcPr>
          <w:p w14:paraId="5139C7D8">
            <w:pPr>
              <w:widowControl/>
              <w:spacing w:line="300" w:lineRule="exact"/>
              <w:jc w:val="left"/>
              <w:rPr>
                <w:rFonts w:ascii="宋体" w:hAnsi="宋体" w:cs="宋体"/>
                <w:color w:val="000000"/>
                <w:kern w:val="0"/>
                <w:sz w:val="16"/>
                <w:szCs w:val="16"/>
                <w:highlight w:val="yellow"/>
              </w:rPr>
            </w:pPr>
            <w:r>
              <w:rPr>
                <w:rFonts w:hint="eastAsia" w:ascii="宋体" w:hAnsi="宋体" w:cs="宋体"/>
                <w:color w:val="000000"/>
                <w:kern w:val="0"/>
                <w:sz w:val="16"/>
                <w:szCs w:val="16"/>
              </w:rPr>
              <w:t>生产过程关键工序工艺控制文件不完整，不能体现工艺控制的可靠性、维修性、保障性、测试性、安全性等。</w:t>
            </w:r>
          </w:p>
        </w:tc>
        <w:tc>
          <w:tcPr>
            <w:tcW w:w="456" w:type="dxa"/>
            <w:shd w:val="clear" w:color="auto" w:fill="auto"/>
            <w:vAlign w:val="center"/>
          </w:tcPr>
          <w:p w14:paraId="30B48E66">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0</w:t>
            </w:r>
          </w:p>
        </w:tc>
        <w:tc>
          <w:tcPr>
            <w:tcW w:w="1043" w:type="dxa"/>
            <w:gridSpan w:val="2"/>
            <w:vMerge w:val="continue"/>
            <w:vAlign w:val="center"/>
          </w:tcPr>
          <w:p w14:paraId="19C7AC3C">
            <w:pPr>
              <w:widowControl/>
              <w:jc w:val="left"/>
              <w:rPr>
                <w:rFonts w:ascii="等线" w:hAnsi="等线" w:eastAsia="等线" w:cs="宋体"/>
                <w:color w:val="000000"/>
                <w:kern w:val="0"/>
                <w:sz w:val="16"/>
                <w:szCs w:val="16"/>
              </w:rPr>
            </w:pPr>
          </w:p>
        </w:tc>
      </w:tr>
      <w:tr w14:paraId="50E377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0" w:type="dxa"/>
            <w:vMerge w:val="continue"/>
            <w:vAlign w:val="center"/>
          </w:tcPr>
          <w:p w14:paraId="15284D11">
            <w:pPr>
              <w:widowControl/>
              <w:jc w:val="left"/>
              <w:rPr>
                <w:rFonts w:ascii="等线" w:hAnsi="等线" w:eastAsia="等线" w:cs="宋体"/>
                <w:color w:val="000000"/>
                <w:kern w:val="0"/>
                <w:sz w:val="16"/>
                <w:szCs w:val="16"/>
              </w:rPr>
            </w:pPr>
          </w:p>
        </w:tc>
        <w:tc>
          <w:tcPr>
            <w:tcW w:w="830" w:type="dxa"/>
            <w:vMerge w:val="continue"/>
            <w:vAlign w:val="center"/>
          </w:tcPr>
          <w:p w14:paraId="462135CE">
            <w:pPr>
              <w:widowControl/>
              <w:jc w:val="left"/>
              <w:rPr>
                <w:rFonts w:ascii="宋体" w:hAnsi="宋体" w:cs="宋体"/>
                <w:color w:val="000000"/>
                <w:kern w:val="0"/>
                <w:sz w:val="16"/>
                <w:szCs w:val="16"/>
              </w:rPr>
            </w:pPr>
          </w:p>
        </w:tc>
        <w:tc>
          <w:tcPr>
            <w:tcW w:w="988" w:type="dxa"/>
            <w:vMerge w:val="continue"/>
            <w:vAlign w:val="center"/>
          </w:tcPr>
          <w:p w14:paraId="0319F542">
            <w:pPr>
              <w:widowControl/>
              <w:jc w:val="left"/>
              <w:rPr>
                <w:rFonts w:ascii="宋体" w:hAnsi="宋体" w:cs="宋体"/>
                <w:color w:val="000000"/>
                <w:kern w:val="0"/>
                <w:sz w:val="16"/>
                <w:szCs w:val="16"/>
              </w:rPr>
            </w:pPr>
          </w:p>
        </w:tc>
        <w:tc>
          <w:tcPr>
            <w:tcW w:w="1081" w:type="dxa"/>
            <w:vMerge w:val="restart"/>
            <w:shd w:val="clear" w:color="auto" w:fill="auto"/>
            <w:vAlign w:val="center"/>
          </w:tcPr>
          <w:p w14:paraId="15E29B27">
            <w:pPr>
              <w:widowControl/>
              <w:jc w:val="center"/>
              <w:rPr>
                <w:rFonts w:ascii="宋体" w:hAnsi="宋体" w:cs="宋体"/>
                <w:color w:val="000000"/>
                <w:kern w:val="0"/>
                <w:sz w:val="16"/>
                <w:szCs w:val="16"/>
              </w:rPr>
            </w:pPr>
            <w:r>
              <w:rPr>
                <w:rFonts w:hint="eastAsia" w:ascii="宋体" w:hAnsi="宋体" w:cs="宋体"/>
                <w:color w:val="000000"/>
                <w:kern w:val="0"/>
                <w:sz w:val="16"/>
                <w:szCs w:val="16"/>
              </w:rPr>
              <w:t>工装设备水平</w:t>
            </w:r>
          </w:p>
        </w:tc>
        <w:tc>
          <w:tcPr>
            <w:tcW w:w="1240" w:type="dxa"/>
            <w:vMerge w:val="restart"/>
            <w:shd w:val="clear" w:color="auto" w:fill="auto"/>
            <w:vAlign w:val="center"/>
          </w:tcPr>
          <w:p w14:paraId="3166E729">
            <w:pPr>
              <w:widowControl/>
              <w:jc w:val="center"/>
              <w:rPr>
                <w:rFonts w:ascii="宋体" w:hAnsi="宋体" w:cs="宋体"/>
                <w:color w:val="000000"/>
                <w:kern w:val="0"/>
                <w:sz w:val="16"/>
                <w:szCs w:val="16"/>
              </w:rPr>
            </w:pPr>
            <w:r>
              <w:rPr>
                <w:rFonts w:hint="eastAsia" w:ascii="宋体" w:hAnsi="宋体" w:cs="宋体"/>
                <w:color w:val="000000"/>
                <w:kern w:val="0"/>
                <w:sz w:val="16"/>
                <w:szCs w:val="16"/>
              </w:rPr>
              <w:t>工装水平</w:t>
            </w:r>
          </w:p>
        </w:tc>
        <w:tc>
          <w:tcPr>
            <w:tcW w:w="1036" w:type="dxa"/>
            <w:vMerge w:val="restart"/>
            <w:shd w:val="clear" w:color="auto" w:fill="auto"/>
            <w:vAlign w:val="center"/>
          </w:tcPr>
          <w:p w14:paraId="53BEDF05">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5C7E9576">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生产全过程自动化，完全具备人机协同与交互、联网与数据采集、故障监测与预警等功能。</w:t>
            </w:r>
          </w:p>
        </w:tc>
        <w:tc>
          <w:tcPr>
            <w:tcW w:w="456" w:type="dxa"/>
            <w:shd w:val="clear" w:color="000000" w:fill="D9D9D9"/>
            <w:vAlign w:val="center"/>
          </w:tcPr>
          <w:p w14:paraId="7F38B71D">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r>
              <w:rPr>
                <w:rFonts w:ascii="黑体" w:hAnsi="黑体" w:eastAsia="黑体" w:cs="宋体"/>
                <w:color w:val="000000"/>
                <w:kern w:val="0"/>
                <w:sz w:val="16"/>
                <w:szCs w:val="16"/>
              </w:rPr>
              <w:t>5</w:t>
            </w:r>
          </w:p>
        </w:tc>
        <w:tc>
          <w:tcPr>
            <w:tcW w:w="1043" w:type="dxa"/>
            <w:gridSpan w:val="2"/>
            <w:vMerge w:val="continue"/>
            <w:vAlign w:val="center"/>
          </w:tcPr>
          <w:p w14:paraId="3DD5DF47">
            <w:pPr>
              <w:widowControl/>
              <w:jc w:val="left"/>
              <w:rPr>
                <w:rFonts w:ascii="等线" w:hAnsi="等线" w:eastAsia="等线" w:cs="宋体"/>
                <w:color w:val="000000"/>
                <w:kern w:val="0"/>
                <w:sz w:val="16"/>
                <w:szCs w:val="16"/>
              </w:rPr>
            </w:pPr>
          </w:p>
        </w:tc>
      </w:tr>
      <w:tr w14:paraId="7CC468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0" w:type="dxa"/>
            <w:vMerge w:val="continue"/>
            <w:vAlign w:val="center"/>
          </w:tcPr>
          <w:p w14:paraId="416BE84D">
            <w:pPr>
              <w:widowControl/>
              <w:jc w:val="left"/>
              <w:rPr>
                <w:rFonts w:ascii="等线" w:hAnsi="等线" w:eastAsia="等线" w:cs="宋体"/>
                <w:color w:val="000000"/>
                <w:kern w:val="0"/>
                <w:sz w:val="16"/>
                <w:szCs w:val="16"/>
              </w:rPr>
            </w:pPr>
          </w:p>
        </w:tc>
        <w:tc>
          <w:tcPr>
            <w:tcW w:w="830" w:type="dxa"/>
            <w:vMerge w:val="continue"/>
            <w:vAlign w:val="center"/>
          </w:tcPr>
          <w:p w14:paraId="63BBAF68">
            <w:pPr>
              <w:widowControl/>
              <w:jc w:val="left"/>
              <w:rPr>
                <w:rFonts w:ascii="宋体" w:hAnsi="宋体" w:cs="宋体"/>
                <w:color w:val="000000"/>
                <w:kern w:val="0"/>
                <w:sz w:val="16"/>
                <w:szCs w:val="16"/>
              </w:rPr>
            </w:pPr>
          </w:p>
        </w:tc>
        <w:tc>
          <w:tcPr>
            <w:tcW w:w="988" w:type="dxa"/>
            <w:vMerge w:val="continue"/>
            <w:vAlign w:val="center"/>
          </w:tcPr>
          <w:p w14:paraId="32451607">
            <w:pPr>
              <w:widowControl/>
              <w:jc w:val="left"/>
              <w:rPr>
                <w:rFonts w:ascii="宋体" w:hAnsi="宋体" w:cs="宋体"/>
                <w:color w:val="000000"/>
                <w:kern w:val="0"/>
                <w:sz w:val="16"/>
                <w:szCs w:val="16"/>
              </w:rPr>
            </w:pPr>
          </w:p>
        </w:tc>
        <w:tc>
          <w:tcPr>
            <w:tcW w:w="1081" w:type="dxa"/>
            <w:vMerge w:val="continue"/>
            <w:vAlign w:val="center"/>
          </w:tcPr>
          <w:p w14:paraId="1F6ADDF1">
            <w:pPr>
              <w:widowControl/>
              <w:jc w:val="left"/>
              <w:rPr>
                <w:rFonts w:ascii="宋体" w:hAnsi="宋体" w:cs="宋体"/>
                <w:color w:val="000000"/>
                <w:kern w:val="0"/>
                <w:sz w:val="16"/>
                <w:szCs w:val="16"/>
              </w:rPr>
            </w:pPr>
          </w:p>
        </w:tc>
        <w:tc>
          <w:tcPr>
            <w:tcW w:w="1240" w:type="dxa"/>
            <w:vMerge w:val="continue"/>
            <w:vAlign w:val="center"/>
          </w:tcPr>
          <w:p w14:paraId="61D12065">
            <w:pPr>
              <w:widowControl/>
              <w:jc w:val="left"/>
              <w:rPr>
                <w:rFonts w:ascii="宋体" w:hAnsi="宋体" w:cs="宋体"/>
                <w:color w:val="000000"/>
                <w:kern w:val="0"/>
                <w:sz w:val="16"/>
                <w:szCs w:val="16"/>
              </w:rPr>
            </w:pPr>
          </w:p>
        </w:tc>
        <w:tc>
          <w:tcPr>
            <w:tcW w:w="1036" w:type="dxa"/>
            <w:vMerge w:val="continue"/>
            <w:vAlign w:val="center"/>
          </w:tcPr>
          <w:p w14:paraId="2ED4A539">
            <w:pPr>
              <w:widowControl/>
              <w:jc w:val="left"/>
              <w:rPr>
                <w:rFonts w:ascii="宋体" w:hAnsi="宋体" w:cs="宋体"/>
                <w:color w:val="000000"/>
                <w:kern w:val="0"/>
                <w:sz w:val="16"/>
                <w:szCs w:val="16"/>
              </w:rPr>
            </w:pPr>
          </w:p>
        </w:tc>
        <w:tc>
          <w:tcPr>
            <w:tcW w:w="2148" w:type="dxa"/>
            <w:shd w:val="clear" w:color="auto" w:fill="auto"/>
            <w:vAlign w:val="center"/>
          </w:tcPr>
          <w:p w14:paraId="2ED35014">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生产过程关键工序自动化，具备人机协同与交互、联网与数据采集、故障监测与预警等功能。</w:t>
            </w:r>
          </w:p>
        </w:tc>
        <w:tc>
          <w:tcPr>
            <w:tcW w:w="456" w:type="dxa"/>
            <w:shd w:val="clear" w:color="auto" w:fill="auto"/>
            <w:vAlign w:val="center"/>
          </w:tcPr>
          <w:p w14:paraId="7BB3D6F8">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10</w:t>
            </w:r>
          </w:p>
        </w:tc>
        <w:tc>
          <w:tcPr>
            <w:tcW w:w="1043" w:type="dxa"/>
            <w:gridSpan w:val="2"/>
            <w:vMerge w:val="continue"/>
            <w:vAlign w:val="center"/>
          </w:tcPr>
          <w:p w14:paraId="3D4AE1C7">
            <w:pPr>
              <w:widowControl/>
              <w:jc w:val="left"/>
              <w:rPr>
                <w:rFonts w:ascii="等线" w:hAnsi="等线" w:eastAsia="等线" w:cs="宋体"/>
                <w:color w:val="000000"/>
                <w:kern w:val="0"/>
                <w:sz w:val="16"/>
                <w:szCs w:val="16"/>
              </w:rPr>
            </w:pPr>
          </w:p>
        </w:tc>
      </w:tr>
      <w:tr w14:paraId="23C283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0" w:type="dxa"/>
            <w:vMerge w:val="continue"/>
            <w:vAlign w:val="center"/>
          </w:tcPr>
          <w:p w14:paraId="15EB1010">
            <w:pPr>
              <w:widowControl/>
              <w:jc w:val="left"/>
              <w:rPr>
                <w:rFonts w:ascii="等线" w:hAnsi="等线" w:eastAsia="等线" w:cs="宋体"/>
                <w:color w:val="000000"/>
                <w:kern w:val="0"/>
                <w:sz w:val="16"/>
                <w:szCs w:val="16"/>
              </w:rPr>
            </w:pPr>
          </w:p>
        </w:tc>
        <w:tc>
          <w:tcPr>
            <w:tcW w:w="830" w:type="dxa"/>
            <w:vMerge w:val="continue"/>
            <w:vAlign w:val="center"/>
          </w:tcPr>
          <w:p w14:paraId="75D3E397">
            <w:pPr>
              <w:widowControl/>
              <w:jc w:val="left"/>
              <w:rPr>
                <w:rFonts w:ascii="宋体" w:hAnsi="宋体" w:cs="宋体"/>
                <w:color w:val="000000"/>
                <w:kern w:val="0"/>
                <w:sz w:val="16"/>
                <w:szCs w:val="16"/>
              </w:rPr>
            </w:pPr>
          </w:p>
        </w:tc>
        <w:tc>
          <w:tcPr>
            <w:tcW w:w="988" w:type="dxa"/>
            <w:vMerge w:val="continue"/>
            <w:vAlign w:val="center"/>
          </w:tcPr>
          <w:p w14:paraId="5CCF1762">
            <w:pPr>
              <w:widowControl/>
              <w:jc w:val="left"/>
              <w:rPr>
                <w:rFonts w:ascii="宋体" w:hAnsi="宋体" w:cs="宋体"/>
                <w:color w:val="000000"/>
                <w:kern w:val="0"/>
                <w:sz w:val="16"/>
                <w:szCs w:val="16"/>
              </w:rPr>
            </w:pPr>
          </w:p>
        </w:tc>
        <w:tc>
          <w:tcPr>
            <w:tcW w:w="1081" w:type="dxa"/>
            <w:vMerge w:val="continue"/>
            <w:vAlign w:val="center"/>
          </w:tcPr>
          <w:p w14:paraId="0FC0EA70">
            <w:pPr>
              <w:widowControl/>
              <w:jc w:val="left"/>
              <w:rPr>
                <w:rFonts w:ascii="宋体" w:hAnsi="宋体" w:cs="宋体"/>
                <w:color w:val="000000"/>
                <w:kern w:val="0"/>
                <w:sz w:val="16"/>
                <w:szCs w:val="16"/>
              </w:rPr>
            </w:pPr>
          </w:p>
        </w:tc>
        <w:tc>
          <w:tcPr>
            <w:tcW w:w="1240" w:type="dxa"/>
            <w:vMerge w:val="continue"/>
            <w:vAlign w:val="center"/>
          </w:tcPr>
          <w:p w14:paraId="76EE8A60">
            <w:pPr>
              <w:widowControl/>
              <w:jc w:val="left"/>
              <w:rPr>
                <w:rFonts w:ascii="宋体" w:hAnsi="宋体" w:cs="宋体"/>
                <w:color w:val="000000"/>
                <w:kern w:val="0"/>
                <w:sz w:val="16"/>
                <w:szCs w:val="16"/>
              </w:rPr>
            </w:pPr>
          </w:p>
        </w:tc>
        <w:tc>
          <w:tcPr>
            <w:tcW w:w="1036" w:type="dxa"/>
            <w:vMerge w:val="continue"/>
            <w:vAlign w:val="center"/>
          </w:tcPr>
          <w:p w14:paraId="383F6DDA">
            <w:pPr>
              <w:widowControl/>
              <w:jc w:val="left"/>
              <w:rPr>
                <w:rFonts w:ascii="宋体" w:hAnsi="宋体" w:cs="宋体"/>
                <w:color w:val="000000"/>
                <w:kern w:val="0"/>
                <w:sz w:val="16"/>
                <w:szCs w:val="16"/>
              </w:rPr>
            </w:pPr>
          </w:p>
        </w:tc>
        <w:tc>
          <w:tcPr>
            <w:tcW w:w="2148" w:type="dxa"/>
            <w:shd w:val="clear" w:color="auto" w:fill="auto"/>
            <w:vAlign w:val="center"/>
          </w:tcPr>
          <w:p w14:paraId="74660A1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生产过程关键工序自动化，具备人机协同与交互、联网与数据采集、故障监测与预警等其中部分功能。</w:t>
            </w:r>
          </w:p>
        </w:tc>
        <w:tc>
          <w:tcPr>
            <w:tcW w:w="456" w:type="dxa"/>
            <w:shd w:val="clear" w:color="auto" w:fill="auto"/>
            <w:vAlign w:val="center"/>
          </w:tcPr>
          <w:p w14:paraId="099E7358">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6</w:t>
            </w:r>
          </w:p>
        </w:tc>
        <w:tc>
          <w:tcPr>
            <w:tcW w:w="1043" w:type="dxa"/>
            <w:gridSpan w:val="2"/>
            <w:vMerge w:val="continue"/>
            <w:vAlign w:val="center"/>
          </w:tcPr>
          <w:p w14:paraId="1EBBC007">
            <w:pPr>
              <w:widowControl/>
              <w:jc w:val="left"/>
              <w:rPr>
                <w:rFonts w:ascii="等线" w:hAnsi="等线" w:eastAsia="等线" w:cs="宋体"/>
                <w:color w:val="000000"/>
                <w:kern w:val="0"/>
                <w:sz w:val="16"/>
                <w:szCs w:val="16"/>
              </w:rPr>
            </w:pPr>
          </w:p>
        </w:tc>
      </w:tr>
      <w:tr w14:paraId="4A9243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0" w:type="dxa"/>
            <w:vMerge w:val="continue"/>
            <w:vAlign w:val="center"/>
          </w:tcPr>
          <w:p w14:paraId="7848AAE4">
            <w:pPr>
              <w:widowControl/>
              <w:jc w:val="left"/>
              <w:rPr>
                <w:rFonts w:ascii="等线" w:hAnsi="等线" w:eastAsia="等线" w:cs="宋体"/>
                <w:color w:val="000000"/>
                <w:kern w:val="0"/>
                <w:sz w:val="16"/>
                <w:szCs w:val="16"/>
              </w:rPr>
            </w:pPr>
          </w:p>
        </w:tc>
        <w:tc>
          <w:tcPr>
            <w:tcW w:w="830" w:type="dxa"/>
            <w:vMerge w:val="continue"/>
            <w:vAlign w:val="center"/>
          </w:tcPr>
          <w:p w14:paraId="16D0DA3A">
            <w:pPr>
              <w:widowControl/>
              <w:jc w:val="left"/>
              <w:rPr>
                <w:rFonts w:ascii="宋体" w:hAnsi="宋体" w:cs="宋体"/>
                <w:color w:val="000000"/>
                <w:kern w:val="0"/>
                <w:sz w:val="16"/>
                <w:szCs w:val="16"/>
              </w:rPr>
            </w:pPr>
          </w:p>
        </w:tc>
        <w:tc>
          <w:tcPr>
            <w:tcW w:w="988" w:type="dxa"/>
            <w:vMerge w:val="continue"/>
            <w:vAlign w:val="center"/>
          </w:tcPr>
          <w:p w14:paraId="65509E09">
            <w:pPr>
              <w:widowControl/>
              <w:jc w:val="left"/>
              <w:rPr>
                <w:rFonts w:ascii="宋体" w:hAnsi="宋体" w:cs="宋体"/>
                <w:color w:val="000000"/>
                <w:kern w:val="0"/>
                <w:sz w:val="16"/>
                <w:szCs w:val="16"/>
              </w:rPr>
            </w:pPr>
          </w:p>
        </w:tc>
        <w:tc>
          <w:tcPr>
            <w:tcW w:w="1081" w:type="dxa"/>
            <w:vMerge w:val="continue"/>
            <w:vAlign w:val="center"/>
          </w:tcPr>
          <w:p w14:paraId="60CBBD99">
            <w:pPr>
              <w:widowControl/>
              <w:jc w:val="left"/>
              <w:rPr>
                <w:rFonts w:ascii="宋体" w:hAnsi="宋体" w:cs="宋体"/>
                <w:color w:val="000000"/>
                <w:kern w:val="0"/>
                <w:sz w:val="16"/>
                <w:szCs w:val="16"/>
              </w:rPr>
            </w:pPr>
          </w:p>
        </w:tc>
        <w:tc>
          <w:tcPr>
            <w:tcW w:w="1240" w:type="dxa"/>
            <w:vMerge w:val="continue"/>
            <w:vAlign w:val="center"/>
          </w:tcPr>
          <w:p w14:paraId="033579DE">
            <w:pPr>
              <w:widowControl/>
              <w:jc w:val="left"/>
              <w:rPr>
                <w:rFonts w:ascii="宋体" w:hAnsi="宋体" w:cs="宋体"/>
                <w:color w:val="000000"/>
                <w:kern w:val="0"/>
                <w:sz w:val="16"/>
                <w:szCs w:val="16"/>
              </w:rPr>
            </w:pPr>
          </w:p>
        </w:tc>
        <w:tc>
          <w:tcPr>
            <w:tcW w:w="1036" w:type="dxa"/>
            <w:vMerge w:val="continue"/>
            <w:vAlign w:val="center"/>
          </w:tcPr>
          <w:p w14:paraId="3590E09D">
            <w:pPr>
              <w:widowControl/>
              <w:jc w:val="left"/>
              <w:rPr>
                <w:rFonts w:ascii="宋体" w:hAnsi="宋体" w:cs="宋体"/>
                <w:color w:val="000000"/>
                <w:kern w:val="0"/>
                <w:sz w:val="16"/>
                <w:szCs w:val="16"/>
              </w:rPr>
            </w:pPr>
          </w:p>
        </w:tc>
        <w:tc>
          <w:tcPr>
            <w:tcW w:w="2148" w:type="dxa"/>
            <w:shd w:val="clear" w:color="auto" w:fill="auto"/>
            <w:vAlign w:val="center"/>
          </w:tcPr>
          <w:p w14:paraId="1205ABE6">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生产过程部分关键工序自动化，具备人机协同与交互、联网与数据采集、故障监测与预警等其中部分功能。</w:t>
            </w:r>
          </w:p>
        </w:tc>
        <w:tc>
          <w:tcPr>
            <w:tcW w:w="456" w:type="dxa"/>
            <w:shd w:val="clear" w:color="auto" w:fill="auto"/>
            <w:vAlign w:val="center"/>
          </w:tcPr>
          <w:p w14:paraId="7EA05E42">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2</w:t>
            </w:r>
          </w:p>
        </w:tc>
        <w:tc>
          <w:tcPr>
            <w:tcW w:w="1043" w:type="dxa"/>
            <w:gridSpan w:val="2"/>
            <w:vMerge w:val="continue"/>
            <w:vAlign w:val="center"/>
          </w:tcPr>
          <w:p w14:paraId="694D03A8">
            <w:pPr>
              <w:widowControl/>
              <w:jc w:val="left"/>
              <w:rPr>
                <w:rFonts w:ascii="等线" w:hAnsi="等线" w:eastAsia="等线" w:cs="宋体"/>
                <w:color w:val="000000"/>
                <w:kern w:val="0"/>
                <w:sz w:val="16"/>
                <w:szCs w:val="16"/>
              </w:rPr>
            </w:pPr>
          </w:p>
        </w:tc>
      </w:tr>
      <w:tr w14:paraId="7E4870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80" w:type="dxa"/>
            <w:vMerge w:val="continue"/>
            <w:vAlign w:val="center"/>
          </w:tcPr>
          <w:p w14:paraId="68398480">
            <w:pPr>
              <w:widowControl/>
              <w:jc w:val="left"/>
              <w:rPr>
                <w:rFonts w:ascii="等线" w:hAnsi="等线" w:eastAsia="等线" w:cs="宋体"/>
                <w:color w:val="000000"/>
                <w:kern w:val="0"/>
                <w:sz w:val="16"/>
                <w:szCs w:val="16"/>
              </w:rPr>
            </w:pPr>
          </w:p>
        </w:tc>
        <w:tc>
          <w:tcPr>
            <w:tcW w:w="830" w:type="dxa"/>
            <w:vMerge w:val="continue"/>
            <w:vAlign w:val="center"/>
          </w:tcPr>
          <w:p w14:paraId="019D1CDD">
            <w:pPr>
              <w:widowControl/>
              <w:jc w:val="left"/>
              <w:rPr>
                <w:rFonts w:ascii="宋体" w:hAnsi="宋体" w:cs="宋体"/>
                <w:color w:val="000000"/>
                <w:kern w:val="0"/>
                <w:sz w:val="16"/>
                <w:szCs w:val="16"/>
              </w:rPr>
            </w:pPr>
          </w:p>
        </w:tc>
        <w:tc>
          <w:tcPr>
            <w:tcW w:w="988" w:type="dxa"/>
            <w:vMerge w:val="continue"/>
            <w:vAlign w:val="center"/>
          </w:tcPr>
          <w:p w14:paraId="0368EF27">
            <w:pPr>
              <w:widowControl/>
              <w:jc w:val="left"/>
              <w:rPr>
                <w:rFonts w:ascii="宋体" w:hAnsi="宋体" w:cs="宋体"/>
                <w:color w:val="000000"/>
                <w:kern w:val="0"/>
                <w:sz w:val="16"/>
                <w:szCs w:val="16"/>
              </w:rPr>
            </w:pPr>
          </w:p>
        </w:tc>
        <w:tc>
          <w:tcPr>
            <w:tcW w:w="1081" w:type="dxa"/>
            <w:vMerge w:val="continue"/>
            <w:vAlign w:val="center"/>
          </w:tcPr>
          <w:p w14:paraId="6BAB6CBB">
            <w:pPr>
              <w:widowControl/>
              <w:jc w:val="left"/>
              <w:rPr>
                <w:rFonts w:ascii="宋体" w:hAnsi="宋体" w:cs="宋体"/>
                <w:color w:val="000000"/>
                <w:kern w:val="0"/>
                <w:sz w:val="16"/>
                <w:szCs w:val="16"/>
              </w:rPr>
            </w:pPr>
          </w:p>
        </w:tc>
        <w:tc>
          <w:tcPr>
            <w:tcW w:w="1240" w:type="dxa"/>
            <w:vMerge w:val="continue"/>
            <w:vAlign w:val="center"/>
          </w:tcPr>
          <w:p w14:paraId="2A7724CC">
            <w:pPr>
              <w:widowControl/>
              <w:jc w:val="left"/>
              <w:rPr>
                <w:rFonts w:ascii="宋体" w:hAnsi="宋体" w:cs="宋体"/>
                <w:color w:val="000000"/>
                <w:kern w:val="0"/>
                <w:sz w:val="16"/>
                <w:szCs w:val="16"/>
              </w:rPr>
            </w:pPr>
          </w:p>
        </w:tc>
        <w:tc>
          <w:tcPr>
            <w:tcW w:w="1036" w:type="dxa"/>
            <w:vMerge w:val="continue"/>
            <w:vAlign w:val="center"/>
          </w:tcPr>
          <w:p w14:paraId="37CB7F0D">
            <w:pPr>
              <w:widowControl/>
              <w:jc w:val="left"/>
              <w:rPr>
                <w:rFonts w:ascii="宋体" w:hAnsi="宋体" w:cs="宋体"/>
                <w:color w:val="000000"/>
                <w:kern w:val="0"/>
                <w:sz w:val="16"/>
                <w:szCs w:val="16"/>
              </w:rPr>
            </w:pPr>
          </w:p>
        </w:tc>
        <w:tc>
          <w:tcPr>
            <w:tcW w:w="2148" w:type="dxa"/>
            <w:shd w:val="clear" w:color="auto" w:fill="auto"/>
            <w:vAlign w:val="center"/>
          </w:tcPr>
          <w:p w14:paraId="14D5E08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highlight w:val="none"/>
              </w:rPr>
              <w:t>无自动化装备，不</w:t>
            </w:r>
            <w:r>
              <w:rPr>
                <w:rFonts w:hint="eastAsia" w:ascii="宋体" w:hAnsi="宋体" w:cs="宋体"/>
                <w:color w:val="000000"/>
                <w:kern w:val="0"/>
                <w:sz w:val="16"/>
                <w:szCs w:val="16"/>
              </w:rPr>
              <w:t>具备人机协同与交互、联网与数据采集、故障监测与预警等任一功能。</w:t>
            </w:r>
          </w:p>
        </w:tc>
        <w:tc>
          <w:tcPr>
            <w:tcW w:w="456" w:type="dxa"/>
            <w:shd w:val="clear" w:color="auto" w:fill="auto"/>
            <w:vAlign w:val="center"/>
          </w:tcPr>
          <w:p w14:paraId="6C1272FA">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1AD1D0EA">
            <w:pPr>
              <w:widowControl/>
              <w:jc w:val="left"/>
              <w:rPr>
                <w:rFonts w:ascii="等线" w:hAnsi="等线" w:eastAsia="等线" w:cs="宋体"/>
                <w:color w:val="000000"/>
                <w:kern w:val="0"/>
                <w:sz w:val="16"/>
                <w:szCs w:val="16"/>
              </w:rPr>
            </w:pPr>
          </w:p>
        </w:tc>
      </w:tr>
      <w:tr w14:paraId="62470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3C16BA18">
            <w:pPr>
              <w:widowControl/>
              <w:jc w:val="left"/>
              <w:rPr>
                <w:rFonts w:ascii="等线" w:hAnsi="等线" w:eastAsia="等线" w:cs="宋体"/>
                <w:color w:val="000000"/>
                <w:kern w:val="0"/>
                <w:sz w:val="16"/>
                <w:szCs w:val="16"/>
              </w:rPr>
            </w:pPr>
          </w:p>
        </w:tc>
        <w:tc>
          <w:tcPr>
            <w:tcW w:w="830" w:type="dxa"/>
            <w:vMerge w:val="continue"/>
            <w:vAlign w:val="center"/>
          </w:tcPr>
          <w:p w14:paraId="4EEDF546">
            <w:pPr>
              <w:widowControl/>
              <w:jc w:val="left"/>
              <w:rPr>
                <w:rFonts w:ascii="宋体" w:hAnsi="宋体" w:cs="宋体"/>
                <w:color w:val="000000"/>
                <w:kern w:val="0"/>
                <w:sz w:val="16"/>
                <w:szCs w:val="16"/>
              </w:rPr>
            </w:pPr>
          </w:p>
        </w:tc>
        <w:tc>
          <w:tcPr>
            <w:tcW w:w="988" w:type="dxa"/>
            <w:vMerge w:val="continue"/>
            <w:vAlign w:val="center"/>
          </w:tcPr>
          <w:p w14:paraId="19E74E02">
            <w:pPr>
              <w:widowControl/>
              <w:jc w:val="left"/>
              <w:rPr>
                <w:rFonts w:ascii="宋体" w:hAnsi="宋体" w:cs="宋体"/>
                <w:color w:val="000000"/>
                <w:kern w:val="0"/>
                <w:sz w:val="16"/>
                <w:szCs w:val="16"/>
              </w:rPr>
            </w:pPr>
          </w:p>
        </w:tc>
        <w:tc>
          <w:tcPr>
            <w:tcW w:w="1081" w:type="dxa"/>
            <w:vMerge w:val="continue"/>
            <w:vAlign w:val="center"/>
          </w:tcPr>
          <w:p w14:paraId="59A85274">
            <w:pPr>
              <w:widowControl/>
              <w:jc w:val="left"/>
              <w:rPr>
                <w:rFonts w:ascii="宋体" w:hAnsi="宋体" w:cs="宋体"/>
                <w:color w:val="000000"/>
                <w:kern w:val="0"/>
                <w:sz w:val="16"/>
                <w:szCs w:val="16"/>
              </w:rPr>
            </w:pPr>
          </w:p>
        </w:tc>
        <w:tc>
          <w:tcPr>
            <w:tcW w:w="1240" w:type="dxa"/>
            <w:vMerge w:val="restart"/>
            <w:shd w:val="clear" w:color="auto" w:fill="auto"/>
            <w:vAlign w:val="center"/>
          </w:tcPr>
          <w:p w14:paraId="29702108">
            <w:pPr>
              <w:widowControl/>
              <w:jc w:val="center"/>
              <w:rPr>
                <w:rFonts w:ascii="宋体" w:hAnsi="宋体" w:cs="宋体"/>
                <w:color w:val="000000"/>
                <w:kern w:val="0"/>
                <w:sz w:val="16"/>
                <w:szCs w:val="16"/>
              </w:rPr>
            </w:pPr>
            <w:r>
              <w:rPr>
                <w:rFonts w:hint="eastAsia" w:ascii="宋体" w:hAnsi="宋体" w:cs="宋体"/>
                <w:color w:val="000000"/>
                <w:kern w:val="0"/>
                <w:sz w:val="16"/>
                <w:szCs w:val="16"/>
              </w:rPr>
              <w:t>成品生产（装配）工装数量</w:t>
            </w:r>
          </w:p>
        </w:tc>
        <w:tc>
          <w:tcPr>
            <w:tcW w:w="1036" w:type="dxa"/>
            <w:vMerge w:val="restart"/>
            <w:shd w:val="clear" w:color="auto" w:fill="auto"/>
            <w:vAlign w:val="center"/>
          </w:tcPr>
          <w:p w14:paraId="4DAFF12B">
            <w:pPr>
              <w:widowControl/>
              <w:jc w:val="center"/>
              <w:rPr>
                <w:rFonts w:ascii="宋体" w:hAnsi="宋体" w:cs="宋体"/>
                <w:color w:val="000000"/>
                <w:kern w:val="0"/>
                <w:sz w:val="16"/>
                <w:szCs w:val="16"/>
              </w:rPr>
            </w:pPr>
            <w:r>
              <w:rPr>
                <w:rFonts w:hint="eastAsia" w:ascii="宋体" w:hAnsi="宋体" w:cs="宋体"/>
                <w:color w:val="000000"/>
                <w:kern w:val="0"/>
                <w:sz w:val="16"/>
                <w:szCs w:val="16"/>
              </w:rPr>
              <w:t>标准比对法</w:t>
            </w:r>
          </w:p>
        </w:tc>
        <w:tc>
          <w:tcPr>
            <w:tcW w:w="2148" w:type="dxa"/>
            <w:shd w:val="clear" w:color="auto" w:fill="auto"/>
            <w:vAlign w:val="center"/>
          </w:tcPr>
          <w:p w14:paraId="67E64B49">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1.</w:t>
            </w:r>
            <w:r>
              <w:rPr>
                <w:rFonts w:hint="eastAsia" w:ascii="宋体" w:hAnsi="宋体" w:cs="宋体"/>
                <w:color w:val="000000"/>
                <w:kern w:val="0"/>
                <w:sz w:val="16"/>
                <w:szCs w:val="16"/>
              </w:rPr>
              <w:t>电缆：满足</w:t>
            </w:r>
            <w:r>
              <w:rPr>
                <w:rFonts w:ascii="宋体" w:hAnsi="宋体" w:cs="宋体"/>
                <w:color w:val="000000"/>
                <w:kern w:val="0"/>
                <w:sz w:val="16"/>
                <w:szCs w:val="16"/>
              </w:rPr>
              <w:t>1+2</w:t>
            </w:r>
            <w:r>
              <w:rPr>
                <w:rFonts w:hint="eastAsia" w:ascii="宋体" w:hAnsi="宋体" w:cs="宋体"/>
                <w:color w:val="000000"/>
                <w:kern w:val="0"/>
                <w:sz w:val="16"/>
                <w:szCs w:val="16"/>
              </w:rPr>
              <w:t>挤出生产线或三层共挤生产线</w:t>
            </w:r>
            <w:r>
              <w:rPr>
                <w:rFonts w:ascii="宋体" w:hAnsi="宋体" w:cs="宋体"/>
                <w:color w:val="000000"/>
                <w:kern w:val="0"/>
                <w:sz w:val="16"/>
                <w:szCs w:val="16"/>
              </w:rPr>
              <w:t>3条及以上</w:t>
            </w:r>
          </w:p>
          <w:p w14:paraId="67D05C4F">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2.</w:t>
            </w:r>
            <w:r>
              <w:rPr>
                <w:rFonts w:hint="eastAsia" w:ascii="宋体" w:hAnsi="宋体" w:cs="宋体"/>
                <w:color w:val="000000"/>
                <w:kern w:val="0"/>
                <w:sz w:val="16"/>
                <w:szCs w:val="16"/>
              </w:rPr>
              <w:t>开关柜：满足</w:t>
            </w:r>
            <w:r>
              <w:rPr>
                <w:rFonts w:ascii="宋体" w:hAnsi="宋体" w:cs="宋体"/>
                <w:color w:val="000000"/>
                <w:kern w:val="0"/>
                <w:sz w:val="16"/>
                <w:szCs w:val="16"/>
              </w:rPr>
              <w:t>8</w:t>
            </w:r>
            <w:r>
              <w:rPr>
                <w:rFonts w:hint="eastAsia" w:ascii="宋体" w:hAnsi="宋体" w:cs="宋体"/>
                <w:color w:val="000000"/>
                <w:kern w:val="0"/>
                <w:sz w:val="16"/>
                <w:szCs w:val="16"/>
              </w:rPr>
              <w:t>台及以上设备同时生产</w:t>
            </w:r>
          </w:p>
          <w:p w14:paraId="71C3E07A">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3.</w:t>
            </w:r>
            <w:r>
              <w:rPr>
                <w:rFonts w:hint="eastAsia" w:ascii="宋体" w:hAnsi="宋体" w:cs="宋体"/>
                <w:color w:val="000000"/>
                <w:kern w:val="0"/>
                <w:sz w:val="16"/>
                <w:szCs w:val="16"/>
              </w:rPr>
              <w:t>变压器：满足</w:t>
            </w:r>
            <w:r>
              <w:rPr>
                <w:rFonts w:ascii="宋体" w:hAnsi="宋体" w:cs="宋体"/>
                <w:color w:val="000000"/>
                <w:kern w:val="0"/>
                <w:sz w:val="16"/>
                <w:szCs w:val="16"/>
              </w:rPr>
              <w:t>5台及以上设备同时生产</w:t>
            </w:r>
          </w:p>
        </w:tc>
        <w:tc>
          <w:tcPr>
            <w:tcW w:w="456" w:type="dxa"/>
            <w:shd w:val="clear" w:color="000000" w:fill="D9D9D9"/>
            <w:vAlign w:val="center"/>
          </w:tcPr>
          <w:p w14:paraId="02878AB5">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10</w:t>
            </w:r>
          </w:p>
        </w:tc>
        <w:tc>
          <w:tcPr>
            <w:tcW w:w="1043" w:type="dxa"/>
            <w:gridSpan w:val="2"/>
            <w:vMerge w:val="continue"/>
            <w:vAlign w:val="center"/>
          </w:tcPr>
          <w:p w14:paraId="24E0E1E6">
            <w:pPr>
              <w:widowControl/>
              <w:jc w:val="left"/>
              <w:rPr>
                <w:rFonts w:ascii="等线" w:hAnsi="等线" w:eastAsia="等线" w:cs="宋体"/>
                <w:color w:val="000000"/>
                <w:kern w:val="0"/>
                <w:sz w:val="16"/>
                <w:szCs w:val="16"/>
              </w:rPr>
            </w:pPr>
          </w:p>
        </w:tc>
      </w:tr>
      <w:tr w14:paraId="652DB7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5A900669">
            <w:pPr>
              <w:widowControl/>
              <w:jc w:val="left"/>
              <w:rPr>
                <w:rFonts w:ascii="等线" w:hAnsi="等线" w:eastAsia="等线" w:cs="宋体"/>
                <w:color w:val="000000"/>
                <w:kern w:val="0"/>
                <w:sz w:val="16"/>
                <w:szCs w:val="16"/>
              </w:rPr>
            </w:pPr>
          </w:p>
        </w:tc>
        <w:tc>
          <w:tcPr>
            <w:tcW w:w="830" w:type="dxa"/>
            <w:vMerge w:val="continue"/>
            <w:vAlign w:val="center"/>
          </w:tcPr>
          <w:p w14:paraId="6252C1BC">
            <w:pPr>
              <w:widowControl/>
              <w:jc w:val="left"/>
              <w:rPr>
                <w:rFonts w:ascii="宋体" w:hAnsi="宋体" w:cs="宋体"/>
                <w:color w:val="000000"/>
                <w:kern w:val="0"/>
                <w:sz w:val="16"/>
                <w:szCs w:val="16"/>
              </w:rPr>
            </w:pPr>
          </w:p>
        </w:tc>
        <w:tc>
          <w:tcPr>
            <w:tcW w:w="988" w:type="dxa"/>
            <w:vMerge w:val="continue"/>
            <w:vAlign w:val="center"/>
          </w:tcPr>
          <w:p w14:paraId="1BDF301A">
            <w:pPr>
              <w:widowControl/>
              <w:jc w:val="left"/>
              <w:rPr>
                <w:rFonts w:ascii="宋体" w:hAnsi="宋体" w:cs="宋体"/>
                <w:color w:val="000000"/>
                <w:kern w:val="0"/>
                <w:sz w:val="16"/>
                <w:szCs w:val="16"/>
              </w:rPr>
            </w:pPr>
          </w:p>
        </w:tc>
        <w:tc>
          <w:tcPr>
            <w:tcW w:w="1081" w:type="dxa"/>
            <w:vMerge w:val="continue"/>
            <w:vAlign w:val="center"/>
          </w:tcPr>
          <w:p w14:paraId="5C451103">
            <w:pPr>
              <w:widowControl/>
              <w:jc w:val="left"/>
              <w:rPr>
                <w:rFonts w:ascii="宋体" w:hAnsi="宋体" w:cs="宋体"/>
                <w:color w:val="000000"/>
                <w:kern w:val="0"/>
                <w:sz w:val="16"/>
                <w:szCs w:val="16"/>
              </w:rPr>
            </w:pPr>
          </w:p>
        </w:tc>
        <w:tc>
          <w:tcPr>
            <w:tcW w:w="1240" w:type="dxa"/>
            <w:vMerge w:val="continue"/>
            <w:vAlign w:val="center"/>
          </w:tcPr>
          <w:p w14:paraId="60AA8970">
            <w:pPr>
              <w:widowControl/>
              <w:jc w:val="left"/>
              <w:rPr>
                <w:rFonts w:ascii="宋体" w:hAnsi="宋体" w:cs="宋体"/>
                <w:color w:val="000000"/>
                <w:kern w:val="0"/>
                <w:sz w:val="16"/>
                <w:szCs w:val="16"/>
              </w:rPr>
            </w:pPr>
          </w:p>
        </w:tc>
        <w:tc>
          <w:tcPr>
            <w:tcW w:w="1036" w:type="dxa"/>
            <w:vMerge w:val="continue"/>
            <w:vAlign w:val="center"/>
          </w:tcPr>
          <w:p w14:paraId="0967765E">
            <w:pPr>
              <w:widowControl/>
              <w:jc w:val="left"/>
              <w:rPr>
                <w:rFonts w:ascii="宋体" w:hAnsi="宋体" w:cs="宋体"/>
                <w:color w:val="000000"/>
                <w:kern w:val="0"/>
                <w:sz w:val="16"/>
                <w:szCs w:val="16"/>
              </w:rPr>
            </w:pPr>
          </w:p>
        </w:tc>
        <w:tc>
          <w:tcPr>
            <w:tcW w:w="2148" w:type="dxa"/>
            <w:shd w:val="clear" w:color="auto" w:fill="auto"/>
            <w:vAlign w:val="center"/>
          </w:tcPr>
          <w:p w14:paraId="1E5DF6AC">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1.电缆：满足1+2挤出生产线或三层共挤生产线2</w:t>
            </w:r>
            <w:r>
              <w:rPr>
                <w:rFonts w:hint="eastAsia" w:ascii="宋体" w:hAnsi="宋体" w:cs="宋体"/>
                <w:color w:val="000000"/>
                <w:kern w:val="0"/>
                <w:sz w:val="16"/>
                <w:szCs w:val="16"/>
              </w:rPr>
              <w:t>条</w:t>
            </w:r>
          </w:p>
          <w:p w14:paraId="203A3A99">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2.</w:t>
            </w:r>
            <w:r>
              <w:rPr>
                <w:rFonts w:hint="eastAsia" w:ascii="宋体" w:hAnsi="宋体" w:cs="宋体"/>
                <w:color w:val="000000"/>
                <w:kern w:val="0"/>
                <w:sz w:val="16"/>
                <w:szCs w:val="16"/>
              </w:rPr>
              <w:t>开关柜：满足</w:t>
            </w:r>
            <w:r>
              <w:rPr>
                <w:rFonts w:ascii="宋体" w:hAnsi="宋体" w:cs="宋体"/>
                <w:color w:val="000000"/>
                <w:kern w:val="0"/>
                <w:sz w:val="16"/>
                <w:szCs w:val="16"/>
              </w:rPr>
              <w:t>5</w:t>
            </w:r>
            <w:r>
              <w:rPr>
                <w:rFonts w:hint="eastAsia" w:ascii="宋体" w:hAnsi="宋体" w:cs="宋体"/>
                <w:color w:val="000000"/>
                <w:kern w:val="0"/>
                <w:sz w:val="16"/>
                <w:szCs w:val="16"/>
              </w:rPr>
              <w:t>台设备同时生产</w:t>
            </w:r>
          </w:p>
          <w:p w14:paraId="61349E1B">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3.</w:t>
            </w:r>
            <w:r>
              <w:t xml:space="preserve"> </w:t>
            </w:r>
            <w:r>
              <w:rPr>
                <w:rFonts w:hint="eastAsia" w:ascii="宋体" w:hAnsi="宋体" w:cs="宋体"/>
                <w:color w:val="000000"/>
                <w:kern w:val="0"/>
                <w:sz w:val="16"/>
                <w:szCs w:val="16"/>
              </w:rPr>
              <w:t>变压器：满足</w:t>
            </w:r>
            <w:r>
              <w:rPr>
                <w:rFonts w:ascii="宋体" w:hAnsi="宋体" w:cs="宋体"/>
                <w:color w:val="000000"/>
                <w:kern w:val="0"/>
                <w:sz w:val="16"/>
                <w:szCs w:val="16"/>
              </w:rPr>
              <w:t>3</w:t>
            </w:r>
            <w:r>
              <w:rPr>
                <w:rFonts w:hint="eastAsia" w:ascii="宋体" w:hAnsi="宋体" w:cs="宋体"/>
                <w:color w:val="000000"/>
                <w:kern w:val="0"/>
                <w:sz w:val="16"/>
                <w:szCs w:val="16"/>
              </w:rPr>
              <w:t>台设备同时生产</w:t>
            </w:r>
          </w:p>
        </w:tc>
        <w:tc>
          <w:tcPr>
            <w:tcW w:w="456" w:type="dxa"/>
            <w:shd w:val="clear" w:color="auto" w:fill="auto"/>
            <w:vAlign w:val="center"/>
          </w:tcPr>
          <w:p w14:paraId="3AA26739">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5</w:t>
            </w:r>
          </w:p>
        </w:tc>
        <w:tc>
          <w:tcPr>
            <w:tcW w:w="1043" w:type="dxa"/>
            <w:gridSpan w:val="2"/>
            <w:vMerge w:val="continue"/>
            <w:vAlign w:val="center"/>
          </w:tcPr>
          <w:p w14:paraId="035EC163">
            <w:pPr>
              <w:widowControl/>
              <w:jc w:val="left"/>
              <w:rPr>
                <w:rFonts w:ascii="等线" w:hAnsi="等线" w:eastAsia="等线" w:cs="宋体"/>
                <w:color w:val="000000"/>
                <w:kern w:val="0"/>
                <w:sz w:val="16"/>
                <w:szCs w:val="16"/>
              </w:rPr>
            </w:pPr>
          </w:p>
        </w:tc>
      </w:tr>
      <w:tr w14:paraId="68C77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25F7B076">
            <w:pPr>
              <w:widowControl/>
              <w:jc w:val="left"/>
              <w:rPr>
                <w:rFonts w:ascii="等线" w:hAnsi="等线" w:eastAsia="等线" w:cs="宋体"/>
                <w:color w:val="000000"/>
                <w:kern w:val="0"/>
                <w:sz w:val="16"/>
                <w:szCs w:val="16"/>
              </w:rPr>
            </w:pPr>
          </w:p>
        </w:tc>
        <w:tc>
          <w:tcPr>
            <w:tcW w:w="830" w:type="dxa"/>
            <w:vMerge w:val="continue"/>
            <w:vAlign w:val="center"/>
          </w:tcPr>
          <w:p w14:paraId="2A397303">
            <w:pPr>
              <w:widowControl/>
              <w:jc w:val="left"/>
              <w:rPr>
                <w:rFonts w:ascii="宋体" w:hAnsi="宋体" w:cs="宋体"/>
                <w:color w:val="000000"/>
                <w:kern w:val="0"/>
                <w:sz w:val="16"/>
                <w:szCs w:val="16"/>
              </w:rPr>
            </w:pPr>
          </w:p>
        </w:tc>
        <w:tc>
          <w:tcPr>
            <w:tcW w:w="988" w:type="dxa"/>
            <w:vMerge w:val="continue"/>
            <w:vAlign w:val="center"/>
          </w:tcPr>
          <w:p w14:paraId="78FE1340">
            <w:pPr>
              <w:widowControl/>
              <w:jc w:val="left"/>
              <w:rPr>
                <w:rFonts w:ascii="宋体" w:hAnsi="宋体" w:cs="宋体"/>
                <w:color w:val="000000"/>
                <w:kern w:val="0"/>
                <w:sz w:val="16"/>
                <w:szCs w:val="16"/>
              </w:rPr>
            </w:pPr>
          </w:p>
        </w:tc>
        <w:tc>
          <w:tcPr>
            <w:tcW w:w="1081" w:type="dxa"/>
            <w:vMerge w:val="continue"/>
            <w:vAlign w:val="center"/>
          </w:tcPr>
          <w:p w14:paraId="4635844C">
            <w:pPr>
              <w:widowControl/>
              <w:jc w:val="left"/>
              <w:rPr>
                <w:rFonts w:ascii="宋体" w:hAnsi="宋体" w:cs="宋体"/>
                <w:color w:val="000000"/>
                <w:kern w:val="0"/>
                <w:sz w:val="16"/>
                <w:szCs w:val="16"/>
              </w:rPr>
            </w:pPr>
          </w:p>
        </w:tc>
        <w:tc>
          <w:tcPr>
            <w:tcW w:w="1240" w:type="dxa"/>
            <w:vMerge w:val="continue"/>
            <w:vAlign w:val="center"/>
          </w:tcPr>
          <w:p w14:paraId="0E212FCE">
            <w:pPr>
              <w:widowControl/>
              <w:jc w:val="left"/>
              <w:rPr>
                <w:rFonts w:ascii="宋体" w:hAnsi="宋体" w:cs="宋体"/>
                <w:color w:val="000000"/>
                <w:kern w:val="0"/>
                <w:sz w:val="16"/>
                <w:szCs w:val="16"/>
              </w:rPr>
            </w:pPr>
          </w:p>
        </w:tc>
        <w:tc>
          <w:tcPr>
            <w:tcW w:w="1036" w:type="dxa"/>
            <w:vMerge w:val="continue"/>
            <w:vAlign w:val="center"/>
          </w:tcPr>
          <w:p w14:paraId="2A339D4C">
            <w:pPr>
              <w:widowControl/>
              <w:jc w:val="left"/>
              <w:rPr>
                <w:rFonts w:ascii="宋体" w:hAnsi="宋体" w:cs="宋体"/>
                <w:color w:val="000000"/>
                <w:kern w:val="0"/>
                <w:sz w:val="16"/>
                <w:szCs w:val="16"/>
              </w:rPr>
            </w:pPr>
          </w:p>
        </w:tc>
        <w:tc>
          <w:tcPr>
            <w:tcW w:w="2148" w:type="dxa"/>
            <w:shd w:val="clear" w:color="auto" w:fill="auto"/>
            <w:vAlign w:val="center"/>
          </w:tcPr>
          <w:p w14:paraId="6D7B02C2">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1.电缆：满足1+2挤出生产线或三层共挤生产线1</w:t>
            </w:r>
            <w:r>
              <w:rPr>
                <w:rFonts w:hint="eastAsia" w:ascii="宋体" w:hAnsi="宋体" w:cs="宋体"/>
                <w:color w:val="000000"/>
                <w:kern w:val="0"/>
                <w:sz w:val="16"/>
                <w:szCs w:val="16"/>
              </w:rPr>
              <w:t>条</w:t>
            </w:r>
          </w:p>
          <w:p w14:paraId="50CF88F5">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2.开关柜：满足3</w:t>
            </w:r>
            <w:r>
              <w:rPr>
                <w:rFonts w:hint="eastAsia" w:ascii="宋体" w:hAnsi="宋体" w:cs="宋体"/>
                <w:color w:val="000000"/>
                <w:kern w:val="0"/>
                <w:sz w:val="16"/>
                <w:szCs w:val="16"/>
              </w:rPr>
              <w:t>台设备同时生产</w:t>
            </w:r>
          </w:p>
          <w:p w14:paraId="19262D93">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3.</w:t>
            </w:r>
            <w:r>
              <w:rPr>
                <w:rFonts w:hint="eastAsia" w:ascii="宋体" w:hAnsi="宋体" w:cs="宋体"/>
                <w:color w:val="000000"/>
                <w:kern w:val="0"/>
                <w:sz w:val="16"/>
                <w:szCs w:val="16"/>
              </w:rPr>
              <w:t>变压器：满足</w:t>
            </w:r>
            <w:r>
              <w:rPr>
                <w:rFonts w:ascii="宋体" w:hAnsi="宋体" w:cs="宋体"/>
                <w:color w:val="000000"/>
                <w:kern w:val="0"/>
                <w:sz w:val="16"/>
                <w:szCs w:val="16"/>
              </w:rPr>
              <w:t>2</w:t>
            </w:r>
            <w:r>
              <w:rPr>
                <w:rFonts w:hint="eastAsia" w:ascii="宋体" w:hAnsi="宋体" w:cs="宋体"/>
                <w:color w:val="000000"/>
                <w:kern w:val="0"/>
                <w:sz w:val="16"/>
                <w:szCs w:val="16"/>
              </w:rPr>
              <w:t>台设备同时生产</w:t>
            </w:r>
          </w:p>
        </w:tc>
        <w:tc>
          <w:tcPr>
            <w:tcW w:w="456" w:type="dxa"/>
            <w:shd w:val="clear" w:color="auto" w:fill="auto"/>
            <w:vAlign w:val="center"/>
          </w:tcPr>
          <w:p w14:paraId="68AF2662">
            <w:pPr>
              <w:widowControl/>
              <w:jc w:val="center"/>
              <w:rPr>
                <w:rFonts w:ascii="黑体" w:hAnsi="黑体" w:eastAsia="黑体" w:cs="宋体"/>
                <w:color w:val="000000"/>
                <w:kern w:val="0"/>
                <w:sz w:val="16"/>
                <w:szCs w:val="16"/>
              </w:rPr>
            </w:pPr>
            <w:r>
              <w:rPr>
                <w:rFonts w:ascii="黑体" w:hAnsi="黑体" w:eastAsia="黑体" w:cs="宋体"/>
                <w:color w:val="000000"/>
                <w:kern w:val="0"/>
                <w:sz w:val="16"/>
                <w:szCs w:val="16"/>
              </w:rPr>
              <w:t>2</w:t>
            </w:r>
          </w:p>
        </w:tc>
        <w:tc>
          <w:tcPr>
            <w:tcW w:w="1043" w:type="dxa"/>
            <w:gridSpan w:val="2"/>
            <w:vMerge w:val="continue"/>
            <w:vAlign w:val="center"/>
          </w:tcPr>
          <w:p w14:paraId="22607078">
            <w:pPr>
              <w:widowControl/>
              <w:jc w:val="left"/>
              <w:rPr>
                <w:rFonts w:ascii="等线" w:hAnsi="等线" w:eastAsia="等线" w:cs="宋体"/>
                <w:color w:val="000000"/>
                <w:kern w:val="0"/>
                <w:sz w:val="16"/>
                <w:szCs w:val="16"/>
              </w:rPr>
            </w:pPr>
          </w:p>
        </w:tc>
      </w:tr>
      <w:tr w14:paraId="0F2821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4634C914">
            <w:pPr>
              <w:widowControl/>
              <w:jc w:val="left"/>
              <w:rPr>
                <w:rFonts w:ascii="等线" w:hAnsi="等线" w:eastAsia="等线" w:cs="宋体"/>
                <w:color w:val="000000"/>
                <w:kern w:val="0"/>
                <w:sz w:val="16"/>
                <w:szCs w:val="16"/>
              </w:rPr>
            </w:pPr>
          </w:p>
        </w:tc>
        <w:tc>
          <w:tcPr>
            <w:tcW w:w="830" w:type="dxa"/>
            <w:vMerge w:val="continue"/>
            <w:vAlign w:val="center"/>
          </w:tcPr>
          <w:p w14:paraId="7212DC87">
            <w:pPr>
              <w:widowControl/>
              <w:jc w:val="left"/>
              <w:rPr>
                <w:rFonts w:ascii="宋体" w:hAnsi="宋体" w:cs="宋体"/>
                <w:color w:val="000000"/>
                <w:kern w:val="0"/>
                <w:sz w:val="16"/>
                <w:szCs w:val="16"/>
              </w:rPr>
            </w:pPr>
          </w:p>
        </w:tc>
        <w:tc>
          <w:tcPr>
            <w:tcW w:w="988" w:type="dxa"/>
            <w:vMerge w:val="continue"/>
            <w:vAlign w:val="center"/>
          </w:tcPr>
          <w:p w14:paraId="58A32632">
            <w:pPr>
              <w:widowControl/>
              <w:jc w:val="left"/>
              <w:rPr>
                <w:rFonts w:ascii="宋体" w:hAnsi="宋体" w:cs="宋体"/>
                <w:color w:val="000000"/>
                <w:kern w:val="0"/>
                <w:sz w:val="16"/>
                <w:szCs w:val="16"/>
              </w:rPr>
            </w:pPr>
          </w:p>
        </w:tc>
        <w:tc>
          <w:tcPr>
            <w:tcW w:w="1081" w:type="dxa"/>
            <w:vMerge w:val="continue"/>
            <w:vAlign w:val="center"/>
          </w:tcPr>
          <w:p w14:paraId="05FD2F73">
            <w:pPr>
              <w:widowControl/>
              <w:jc w:val="left"/>
              <w:rPr>
                <w:rFonts w:ascii="宋体" w:hAnsi="宋体" w:cs="宋体"/>
                <w:color w:val="000000"/>
                <w:kern w:val="0"/>
                <w:sz w:val="16"/>
                <w:szCs w:val="16"/>
              </w:rPr>
            </w:pPr>
          </w:p>
        </w:tc>
        <w:tc>
          <w:tcPr>
            <w:tcW w:w="1240" w:type="dxa"/>
            <w:vMerge w:val="continue"/>
            <w:vAlign w:val="center"/>
          </w:tcPr>
          <w:p w14:paraId="5D11F5BD">
            <w:pPr>
              <w:widowControl/>
              <w:jc w:val="left"/>
              <w:rPr>
                <w:rFonts w:ascii="宋体" w:hAnsi="宋体" w:cs="宋体"/>
                <w:color w:val="000000"/>
                <w:kern w:val="0"/>
                <w:sz w:val="16"/>
                <w:szCs w:val="16"/>
              </w:rPr>
            </w:pPr>
          </w:p>
        </w:tc>
        <w:tc>
          <w:tcPr>
            <w:tcW w:w="1036" w:type="dxa"/>
            <w:vMerge w:val="continue"/>
            <w:vAlign w:val="center"/>
          </w:tcPr>
          <w:p w14:paraId="150D3EE3">
            <w:pPr>
              <w:widowControl/>
              <w:jc w:val="left"/>
              <w:rPr>
                <w:rFonts w:ascii="宋体" w:hAnsi="宋体" w:cs="宋体"/>
                <w:color w:val="000000"/>
                <w:kern w:val="0"/>
                <w:sz w:val="16"/>
                <w:szCs w:val="16"/>
              </w:rPr>
            </w:pPr>
          </w:p>
        </w:tc>
        <w:tc>
          <w:tcPr>
            <w:tcW w:w="2148" w:type="dxa"/>
            <w:shd w:val="clear" w:color="auto" w:fill="auto"/>
            <w:vAlign w:val="center"/>
          </w:tcPr>
          <w:p w14:paraId="276021FB">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1.</w:t>
            </w:r>
            <w:r>
              <w:rPr>
                <w:rFonts w:hint="eastAsia" w:ascii="宋体" w:hAnsi="宋体" w:cs="宋体"/>
                <w:color w:val="000000"/>
                <w:kern w:val="0"/>
                <w:sz w:val="16"/>
                <w:szCs w:val="16"/>
              </w:rPr>
              <w:t>电缆：无</w:t>
            </w:r>
            <w:r>
              <w:rPr>
                <w:rFonts w:ascii="宋体" w:hAnsi="宋体" w:cs="宋体"/>
                <w:color w:val="000000"/>
                <w:kern w:val="0"/>
                <w:sz w:val="16"/>
                <w:szCs w:val="16"/>
              </w:rPr>
              <w:t>1+2挤出生产线或三层共挤生产线</w:t>
            </w:r>
          </w:p>
          <w:p w14:paraId="60CBA190">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2.开关柜：仅满足1</w:t>
            </w:r>
            <w:r>
              <w:rPr>
                <w:rFonts w:hint="eastAsia" w:ascii="宋体" w:hAnsi="宋体" w:cs="宋体"/>
                <w:color w:val="000000"/>
                <w:kern w:val="0"/>
                <w:sz w:val="16"/>
                <w:szCs w:val="16"/>
              </w:rPr>
              <w:t>台设备同时生产</w:t>
            </w:r>
          </w:p>
          <w:p w14:paraId="38323B2B">
            <w:pPr>
              <w:widowControl/>
              <w:spacing w:line="300" w:lineRule="exact"/>
              <w:jc w:val="left"/>
              <w:rPr>
                <w:rFonts w:ascii="宋体" w:hAnsi="宋体" w:cs="宋体"/>
                <w:color w:val="000000"/>
                <w:kern w:val="0"/>
                <w:sz w:val="16"/>
                <w:szCs w:val="16"/>
              </w:rPr>
            </w:pPr>
            <w:r>
              <w:rPr>
                <w:rFonts w:ascii="宋体" w:hAnsi="宋体" w:cs="宋体"/>
                <w:color w:val="000000"/>
                <w:kern w:val="0"/>
                <w:sz w:val="16"/>
                <w:szCs w:val="16"/>
              </w:rPr>
              <w:t>3.</w:t>
            </w:r>
            <w:r>
              <w:t xml:space="preserve"> </w:t>
            </w:r>
            <w:r>
              <w:rPr>
                <w:rFonts w:hint="eastAsia" w:ascii="宋体" w:hAnsi="宋体" w:cs="宋体"/>
                <w:color w:val="000000"/>
                <w:kern w:val="0"/>
                <w:sz w:val="16"/>
                <w:szCs w:val="16"/>
              </w:rPr>
              <w:t>变压器：仅满足</w:t>
            </w:r>
            <w:r>
              <w:rPr>
                <w:rFonts w:ascii="宋体" w:hAnsi="宋体" w:cs="宋体"/>
                <w:color w:val="000000"/>
                <w:kern w:val="0"/>
                <w:sz w:val="16"/>
                <w:szCs w:val="16"/>
              </w:rPr>
              <w:t>1</w:t>
            </w:r>
            <w:r>
              <w:rPr>
                <w:rFonts w:hint="eastAsia" w:ascii="宋体" w:hAnsi="宋体" w:cs="宋体"/>
                <w:color w:val="000000"/>
                <w:kern w:val="0"/>
                <w:sz w:val="16"/>
                <w:szCs w:val="16"/>
              </w:rPr>
              <w:t>台设备同时生产</w:t>
            </w:r>
          </w:p>
        </w:tc>
        <w:tc>
          <w:tcPr>
            <w:tcW w:w="456" w:type="dxa"/>
            <w:shd w:val="clear" w:color="auto" w:fill="auto"/>
            <w:vAlign w:val="center"/>
          </w:tcPr>
          <w:p w14:paraId="7A14BD01">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08A3CE25">
            <w:pPr>
              <w:widowControl/>
              <w:jc w:val="left"/>
              <w:rPr>
                <w:rFonts w:ascii="等线" w:hAnsi="等线" w:eastAsia="等线" w:cs="宋体"/>
                <w:color w:val="000000"/>
                <w:kern w:val="0"/>
                <w:sz w:val="16"/>
                <w:szCs w:val="16"/>
              </w:rPr>
            </w:pPr>
          </w:p>
        </w:tc>
      </w:tr>
      <w:tr w14:paraId="275D00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11A5B6CD">
            <w:pPr>
              <w:widowControl/>
              <w:jc w:val="left"/>
              <w:rPr>
                <w:rFonts w:ascii="等线" w:hAnsi="等线" w:eastAsia="等线" w:cs="宋体"/>
                <w:color w:val="000000"/>
                <w:kern w:val="0"/>
                <w:sz w:val="16"/>
                <w:szCs w:val="16"/>
              </w:rPr>
            </w:pPr>
          </w:p>
        </w:tc>
        <w:tc>
          <w:tcPr>
            <w:tcW w:w="830" w:type="dxa"/>
            <w:vMerge w:val="continue"/>
            <w:vAlign w:val="center"/>
          </w:tcPr>
          <w:p w14:paraId="1D629D95">
            <w:pPr>
              <w:widowControl/>
              <w:jc w:val="left"/>
              <w:rPr>
                <w:rFonts w:ascii="宋体" w:hAnsi="宋体" w:cs="宋体"/>
                <w:color w:val="000000"/>
                <w:kern w:val="0"/>
                <w:sz w:val="16"/>
                <w:szCs w:val="16"/>
              </w:rPr>
            </w:pPr>
          </w:p>
        </w:tc>
        <w:tc>
          <w:tcPr>
            <w:tcW w:w="988" w:type="dxa"/>
            <w:vMerge w:val="restart"/>
            <w:shd w:val="clear" w:color="auto" w:fill="auto"/>
            <w:vAlign w:val="center"/>
          </w:tcPr>
          <w:p w14:paraId="6B441F10">
            <w:pPr>
              <w:widowControl/>
              <w:jc w:val="center"/>
              <w:rPr>
                <w:rFonts w:ascii="宋体" w:hAnsi="宋体" w:cs="宋体"/>
                <w:color w:val="000000"/>
                <w:kern w:val="0"/>
                <w:sz w:val="16"/>
                <w:szCs w:val="16"/>
              </w:rPr>
            </w:pPr>
            <w:r>
              <w:rPr>
                <w:rFonts w:hint="eastAsia" w:ascii="宋体" w:hAnsi="宋体" w:cs="宋体"/>
                <w:color w:val="000000"/>
                <w:kern w:val="0"/>
                <w:sz w:val="16"/>
                <w:szCs w:val="16"/>
              </w:rPr>
              <w:t>质量管理能力</w:t>
            </w:r>
          </w:p>
        </w:tc>
        <w:tc>
          <w:tcPr>
            <w:tcW w:w="1081" w:type="dxa"/>
            <w:vMerge w:val="restart"/>
            <w:shd w:val="clear" w:color="auto" w:fill="auto"/>
            <w:vAlign w:val="center"/>
          </w:tcPr>
          <w:p w14:paraId="2F68A306">
            <w:pPr>
              <w:widowControl/>
              <w:jc w:val="center"/>
              <w:rPr>
                <w:rFonts w:ascii="宋体" w:hAnsi="宋体" w:cs="宋体"/>
                <w:color w:val="000000"/>
                <w:kern w:val="0"/>
                <w:sz w:val="16"/>
                <w:szCs w:val="16"/>
              </w:rPr>
            </w:pPr>
            <w:r>
              <w:rPr>
                <w:rFonts w:hint="eastAsia" w:ascii="宋体" w:hAnsi="宋体" w:cs="宋体"/>
                <w:color w:val="000000"/>
                <w:kern w:val="0"/>
                <w:sz w:val="16"/>
                <w:szCs w:val="16"/>
              </w:rPr>
              <w:t>质量管理体系</w:t>
            </w:r>
          </w:p>
        </w:tc>
        <w:tc>
          <w:tcPr>
            <w:tcW w:w="1240" w:type="dxa"/>
            <w:vMerge w:val="restart"/>
            <w:shd w:val="clear" w:color="auto" w:fill="auto"/>
            <w:vAlign w:val="center"/>
          </w:tcPr>
          <w:p w14:paraId="5C42DA8B">
            <w:pPr>
              <w:widowControl/>
              <w:jc w:val="center"/>
              <w:rPr>
                <w:rFonts w:ascii="宋体" w:hAnsi="宋体" w:cs="宋体"/>
                <w:color w:val="000000"/>
                <w:kern w:val="0"/>
                <w:sz w:val="16"/>
                <w:szCs w:val="16"/>
              </w:rPr>
            </w:pPr>
            <w:r>
              <w:rPr>
                <w:rFonts w:hint="eastAsia" w:ascii="宋体" w:hAnsi="宋体" w:cs="宋体"/>
                <w:color w:val="000000"/>
                <w:kern w:val="0"/>
                <w:sz w:val="16"/>
                <w:szCs w:val="16"/>
              </w:rPr>
              <w:t>质量管理体系建立和运行情况</w:t>
            </w:r>
          </w:p>
        </w:tc>
        <w:tc>
          <w:tcPr>
            <w:tcW w:w="1036" w:type="dxa"/>
            <w:vMerge w:val="restart"/>
            <w:shd w:val="clear" w:color="auto" w:fill="auto"/>
            <w:vAlign w:val="center"/>
          </w:tcPr>
          <w:p w14:paraId="0BC6FDA3">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6BFD0258">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通过质量管理体系认证</w:t>
            </w:r>
          </w:p>
        </w:tc>
        <w:tc>
          <w:tcPr>
            <w:tcW w:w="456" w:type="dxa"/>
            <w:shd w:val="clear" w:color="000000" w:fill="D9D9D9"/>
            <w:vAlign w:val="center"/>
          </w:tcPr>
          <w:p w14:paraId="644FE9A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10</w:t>
            </w:r>
          </w:p>
        </w:tc>
        <w:tc>
          <w:tcPr>
            <w:tcW w:w="1043" w:type="dxa"/>
            <w:gridSpan w:val="2"/>
            <w:vMerge w:val="continue"/>
            <w:vAlign w:val="center"/>
          </w:tcPr>
          <w:p w14:paraId="68C34C8F">
            <w:pPr>
              <w:widowControl/>
              <w:jc w:val="left"/>
              <w:rPr>
                <w:rFonts w:ascii="等线" w:hAnsi="等线" w:eastAsia="等线" w:cs="宋体"/>
                <w:color w:val="000000"/>
                <w:kern w:val="0"/>
                <w:sz w:val="16"/>
                <w:szCs w:val="16"/>
              </w:rPr>
            </w:pPr>
          </w:p>
        </w:tc>
      </w:tr>
      <w:tr w14:paraId="57FEFC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80" w:type="dxa"/>
            <w:vMerge w:val="continue"/>
            <w:vAlign w:val="center"/>
          </w:tcPr>
          <w:p w14:paraId="35DCFD0B">
            <w:pPr>
              <w:widowControl/>
              <w:jc w:val="left"/>
              <w:rPr>
                <w:rFonts w:ascii="等线" w:hAnsi="等线" w:eastAsia="等线" w:cs="宋体"/>
                <w:color w:val="000000"/>
                <w:kern w:val="0"/>
                <w:sz w:val="16"/>
                <w:szCs w:val="16"/>
              </w:rPr>
            </w:pPr>
          </w:p>
        </w:tc>
        <w:tc>
          <w:tcPr>
            <w:tcW w:w="830" w:type="dxa"/>
            <w:vMerge w:val="continue"/>
            <w:vAlign w:val="center"/>
          </w:tcPr>
          <w:p w14:paraId="79E44D09">
            <w:pPr>
              <w:widowControl/>
              <w:jc w:val="left"/>
              <w:rPr>
                <w:rFonts w:ascii="宋体" w:hAnsi="宋体" w:cs="宋体"/>
                <w:color w:val="000000"/>
                <w:kern w:val="0"/>
                <w:sz w:val="16"/>
                <w:szCs w:val="16"/>
              </w:rPr>
            </w:pPr>
          </w:p>
        </w:tc>
        <w:tc>
          <w:tcPr>
            <w:tcW w:w="988" w:type="dxa"/>
            <w:vMerge w:val="continue"/>
            <w:vAlign w:val="center"/>
          </w:tcPr>
          <w:p w14:paraId="466C3B65">
            <w:pPr>
              <w:widowControl/>
              <w:jc w:val="left"/>
              <w:rPr>
                <w:rFonts w:ascii="宋体" w:hAnsi="宋体" w:cs="宋体"/>
                <w:color w:val="000000"/>
                <w:kern w:val="0"/>
                <w:sz w:val="16"/>
                <w:szCs w:val="16"/>
              </w:rPr>
            </w:pPr>
          </w:p>
        </w:tc>
        <w:tc>
          <w:tcPr>
            <w:tcW w:w="1081" w:type="dxa"/>
            <w:vMerge w:val="continue"/>
            <w:vAlign w:val="center"/>
          </w:tcPr>
          <w:p w14:paraId="412F6589">
            <w:pPr>
              <w:widowControl/>
              <w:jc w:val="left"/>
              <w:rPr>
                <w:rFonts w:ascii="宋体" w:hAnsi="宋体" w:cs="宋体"/>
                <w:color w:val="000000"/>
                <w:kern w:val="0"/>
                <w:sz w:val="16"/>
                <w:szCs w:val="16"/>
              </w:rPr>
            </w:pPr>
          </w:p>
        </w:tc>
        <w:tc>
          <w:tcPr>
            <w:tcW w:w="1240" w:type="dxa"/>
            <w:vMerge w:val="continue"/>
            <w:vAlign w:val="center"/>
          </w:tcPr>
          <w:p w14:paraId="52571C6C">
            <w:pPr>
              <w:widowControl/>
              <w:jc w:val="left"/>
              <w:rPr>
                <w:rFonts w:ascii="宋体" w:hAnsi="宋体" w:cs="宋体"/>
                <w:color w:val="000000"/>
                <w:kern w:val="0"/>
                <w:sz w:val="16"/>
                <w:szCs w:val="16"/>
              </w:rPr>
            </w:pPr>
          </w:p>
        </w:tc>
        <w:tc>
          <w:tcPr>
            <w:tcW w:w="1036" w:type="dxa"/>
            <w:vMerge w:val="continue"/>
            <w:vAlign w:val="center"/>
          </w:tcPr>
          <w:p w14:paraId="72EA4B66">
            <w:pPr>
              <w:widowControl/>
              <w:jc w:val="left"/>
              <w:rPr>
                <w:rFonts w:ascii="宋体" w:hAnsi="宋体" w:cs="宋体"/>
                <w:color w:val="000000"/>
                <w:kern w:val="0"/>
                <w:sz w:val="16"/>
                <w:szCs w:val="16"/>
              </w:rPr>
            </w:pPr>
          </w:p>
        </w:tc>
        <w:tc>
          <w:tcPr>
            <w:tcW w:w="2148" w:type="dxa"/>
            <w:shd w:val="clear" w:color="auto" w:fill="auto"/>
            <w:vAlign w:val="center"/>
          </w:tcPr>
          <w:p w14:paraId="215B850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未通过质量管理体系认证，但建立了质量管理体系并运行</w:t>
            </w:r>
          </w:p>
        </w:tc>
        <w:tc>
          <w:tcPr>
            <w:tcW w:w="456" w:type="dxa"/>
            <w:shd w:val="clear" w:color="auto" w:fill="auto"/>
            <w:vAlign w:val="center"/>
          </w:tcPr>
          <w:p w14:paraId="4F0B8335">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07B57966">
            <w:pPr>
              <w:widowControl/>
              <w:jc w:val="left"/>
              <w:rPr>
                <w:rFonts w:ascii="等线" w:hAnsi="等线" w:eastAsia="等线" w:cs="宋体"/>
                <w:color w:val="000000"/>
                <w:kern w:val="0"/>
                <w:sz w:val="16"/>
                <w:szCs w:val="16"/>
              </w:rPr>
            </w:pPr>
          </w:p>
        </w:tc>
      </w:tr>
      <w:tr w14:paraId="10A8A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80" w:type="dxa"/>
            <w:vMerge w:val="continue"/>
            <w:vAlign w:val="center"/>
          </w:tcPr>
          <w:p w14:paraId="6C1CEDB6">
            <w:pPr>
              <w:widowControl/>
              <w:jc w:val="left"/>
              <w:rPr>
                <w:rFonts w:ascii="等线" w:hAnsi="等线" w:eastAsia="等线" w:cs="宋体"/>
                <w:color w:val="000000"/>
                <w:kern w:val="0"/>
                <w:sz w:val="16"/>
                <w:szCs w:val="16"/>
              </w:rPr>
            </w:pPr>
          </w:p>
        </w:tc>
        <w:tc>
          <w:tcPr>
            <w:tcW w:w="830" w:type="dxa"/>
            <w:vMerge w:val="continue"/>
            <w:vAlign w:val="center"/>
          </w:tcPr>
          <w:p w14:paraId="2CD85521">
            <w:pPr>
              <w:widowControl/>
              <w:jc w:val="left"/>
              <w:rPr>
                <w:rFonts w:ascii="宋体" w:hAnsi="宋体" w:cs="宋体"/>
                <w:color w:val="000000"/>
                <w:kern w:val="0"/>
                <w:sz w:val="16"/>
                <w:szCs w:val="16"/>
              </w:rPr>
            </w:pPr>
          </w:p>
        </w:tc>
        <w:tc>
          <w:tcPr>
            <w:tcW w:w="988" w:type="dxa"/>
            <w:vMerge w:val="continue"/>
            <w:vAlign w:val="center"/>
          </w:tcPr>
          <w:p w14:paraId="0246B021">
            <w:pPr>
              <w:widowControl/>
              <w:jc w:val="left"/>
              <w:rPr>
                <w:rFonts w:ascii="宋体" w:hAnsi="宋体" w:cs="宋体"/>
                <w:color w:val="000000"/>
                <w:kern w:val="0"/>
                <w:sz w:val="16"/>
                <w:szCs w:val="16"/>
              </w:rPr>
            </w:pPr>
          </w:p>
        </w:tc>
        <w:tc>
          <w:tcPr>
            <w:tcW w:w="1081" w:type="dxa"/>
            <w:vMerge w:val="continue"/>
            <w:vAlign w:val="center"/>
          </w:tcPr>
          <w:p w14:paraId="6CDF8CFF">
            <w:pPr>
              <w:widowControl/>
              <w:jc w:val="left"/>
              <w:rPr>
                <w:rFonts w:ascii="宋体" w:hAnsi="宋体" w:cs="宋体"/>
                <w:color w:val="000000"/>
                <w:kern w:val="0"/>
                <w:sz w:val="16"/>
                <w:szCs w:val="16"/>
              </w:rPr>
            </w:pPr>
          </w:p>
        </w:tc>
        <w:tc>
          <w:tcPr>
            <w:tcW w:w="1240" w:type="dxa"/>
            <w:vMerge w:val="continue"/>
            <w:vAlign w:val="center"/>
          </w:tcPr>
          <w:p w14:paraId="5730F684">
            <w:pPr>
              <w:widowControl/>
              <w:jc w:val="left"/>
              <w:rPr>
                <w:rFonts w:ascii="宋体" w:hAnsi="宋体" w:cs="宋体"/>
                <w:color w:val="000000"/>
                <w:kern w:val="0"/>
                <w:sz w:val="16"/>
                <w:szCs w:val="16"/>
              </w:rPr>
            </w:pPr>
          </w:p>
        </w:tc>
        <w:tc>
          <w:tcPr>
            <w:tcW w:w="1036" w:type="dxa"/>
            <w:vMerge w:val="continue"/>
            <w:vAlign w:val="center"/>
          </w:tcPr>
          <w:p w14:paraId="0C6E1BAB">
            <w:pPr>
              <w:widowControl/>
              <w:jc w:val="left"/>
              <w:rPr>
                <w:rFonts w:ascii="宋体" w:hAnsi="宋体" w:cs="宋体"/>
                <w:color w:val="000000"/>
                <w:kern w:val="0"/>
                <w:sz w:val="16"/>
                <w:szCs w:val="16"/>
              </w:rPr>
            </w:pPr>
          </w:p>
        </w:tc>
        <w:tc>
          <w:tcPr>
            <w:tcW w:w="2148" w:type="dxa"/>
            <w:shd w:val="clear" w:color="auto" w:fill="auto"/>
            <w:vAlign w:val="center"/>
          </w:tcPr>
          <w:p w14:paraId="7728304E">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未建立质量管理体系，但采用了其它质量管理方法</w:t>
            </w:r>
          </w:p>
        </w:tc>
        <w:tc>
          <w:tcPr>
            <w:tcW w:w="456" w:type="dxa"/>
            <w:shd w:val="clear" w:color="auto" w:fill="auto"/>
            <w:vAlign w:val="center"/>
          </w:tcPr>
          <w:p w14:paraId="5BD22196">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p>
        </w:tc>
        <w:tc>
          <w:tcPr>
            <w:tcW w:w="1043" w:type="dxa"/>
            <w:gridSpan w:val="2"/>
            <w:vMerge w:val="continue"/>
            <w:vAlign w:val="center"/>
          </w:tcPr>
          <w:p w14:paraId="275F5E12">
            <w:pPr>
              <w:widowControl/>
              <w:jc w:val="left"/>
              <w:rPr>
                <w:rFonts w:ascii="等线" w:hAnsi="等线" w:eastAsia="等线" w:cs="宋体"/>
                <w:color w:val="000000"/>
                <w:kern w:val="0"/>
                <w:sz w:val="16"/>
                <w:szCs w:val="16"/>
              </w:rPr>
            </w:pPr>
          </w:p>
        </w:tc>
      </w:tr>
      <w:tr w14:paraId="647213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30E47B07">
            <w:pPr>
              <w:widowControl/>
              <w:jc w:val="left"/>
              <w:rPr>
                <w:rFonts w:ascii="等线" w:hAnsi="等线" w:eastAsia="等线" w:cs="宋体"/>
                <w:color w:val="000000"/>
                <w:kern w:val="0"/>
                <w:sz w:val="16"/>
                <w:szCs w:val="16"/>
              </w:rPr>
            </w:pPr>
          </w:p>
        </w:tc>
        <w:tc>
          <w:tcPr>
            <w:tcW w:w="830" w:type="dxa"/>
            <w:vMerge w:val="continue"/>
            <w:vAlign w:val="center"/>
          </w:tcPr>
          <w:p w14:paraId="48507CBB">
            <w:pPr>
              <w:widowControl/>
              <w:jc w:val="left"/>
              <w:rPr>
                <w:rFonts w:ascii="宋体" w:hAnsi="宋体" w:cs="宋体"/>
                <w:color w:val="000000"/>
                <w:kern w:val="0"/>
                <w:sz w:val="16"/>
                <w:szCs w:val="16"/>
              </w:rPr>
            </w:pPr>
          </w:p>
        </w:tc>
        <w:tc>
          <w:tcPr>
            <w:tcW w:w="988" w:type="dxa"/>
            <w:vMerge w:val="continue"/>
            <w:vAlign w:val="center"/>
          </w:tcPr>
          <w:p w14:paraId="52CDECD2">
            <w:pPr>
              <w:widowControl/>
              <w:jc w:val="left"/>
              <w:rPr>
                <w:rFonts w:ascii="宋体" w:hAnsi="宋体" w:cs="宋体"/>
                <w:color w:val="000000"/>
                <w:kern w:val="0"/>
                <w:sz w:val="16"/>
                <w:szCs w:val="16"/>
              </w:rPr>
            </w:pPr>
          </w:p>
        </w:tc>
        <w:tc>
          <w:tcPr>
            <w:tcW w:w="1081" w:type="dxa"/>
            <w:vMerge w:val="continue"/>
            <w:vAlign w:val="center"/>
          </w:tcPr>
          <w:p w14:paraId="41031ACB">
            <w:pPr>
              <w:widowControl/>
              <w:jc w:val="left"/>
              <w:rPr>
                <w:rFonts w:ascii="宋体" w:hAnsi="宋体" w:cs="宋体"/>
                <w:color w:val="000000"/>
                <w:kern w:val="0"/>
                <w:sz w:val="16"/>
                <w:szCs w:val="16"/>
              </w:rPr>
            </w:pPr>
          </w:p>
        </w:tc>
        <w:tc>
          <w:tcPr>
            <w:tcW w:w="1240" w:type="dxa"/>
            <w:vMerge w:val="continue"/>
            <w:vAlign w:val="center"/>
          </w:tcPr>
          <w:p w14:paraId="2F27A3CE">
            <w:pPr>
              <w:widowControl/>
              <w:jc w:val="left"/>
              <w:rPr>
                <w:rFonts w:ascii="宋体" w:hAnsi="宋体" w:cs="宋体"/>
                <w:color w:val="000000"/>
                <w:kern w:val="0"/>
                <w:sz w:val="16"/>
                <w:szCs w:val="16"/>
              </w:rPr>
            </w:pPr>
          </w:p>
        </w:tc>
        <w:tc>
          <w:tcPr>
            <w:tcW w:w="1036" w:type="dxa"/>
            <w:vMerge w:val="continue"/>
            <w:vAlign w:val="center"/>
          </w:tcPr>
          <w:p w14:paraId="1EC3E94F">
            <w:pPr>
              <w:widowControl/>
              <w:jc w:val="left"/>
              <w:rPr>
                <w:rFonts w:ascii="宋体" w:hAnsi="宋体" w:cs="宋体"/>
                <w:color w:val="000000"/>
                <w:kern w:val="0"/>
                <w:sz w:val="16"/>
                <w:szCs w:val="16"/>
              </w:rPr>
            </w:pPr>
          </w:p>
        </w:tc>
        <w:tc>
          <w:tcPr>
            <w:tcW w:w="2148" w:type="dxa"/>
            <w:shd w:val="clear" w:color="auto" w:fill="auto"/>
            <w:vAlign w:val="center"/>
          </w:tcPr>
          <w:p w14:paraId="5CDA3C83">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以上均无</w:t>
            </w:r>
          </w:p>
        </w:tc>
        <w:tc>
          <w:tcPr>
            <w:tcW w:w="456" w:type="dxa"/>
            <w:shd w:val="clear" w:color="auto" w:fill="auto"/>
            <w:vAlign w:val="center"/>
          </w:tcPr>
          <w:p w14:paraId="3B504C00">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128070BF">
            <w:pPr>
              <w:widowControl/>
              <w:jc w:val="left"/>
              <w:rPr>
                <w:rFonts w:ascii="等线" w:hAnsi="等线" w:eastAsia="等线" w:cs="宋体"/>
                <w:color w:val="000000"/>
                <w:kern w:val="0"/>
                <w:sz w:val="16"/>
                <w:szCs w:val="16"/>
              </w:rPr>
            </w:pPr>
          </w:p>
        </w:tc>
      </w:tr>
      <w:tr w14:paraId="1B23B6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80" w:type="dxa"/>
            <w:vMerge w:val="continue"/>
            <w:vAlign w:val="center"/>
          </w:tcPr>
          <w:p w14:paraId="0765AD1F">
            <w:pPr>
              <w:widowControl/>
              <w:jc w:val="left"/>
              <w:rPr>
                <w:rFonts w:ascii="等线" w:hAnsi="等线" w:eastAsia="等线" w:cs="宋体"/>
                <w:color w:val="000000"/>
                <w:kern w:val="0"/>
                <w:sz w:val="16"/>
                <w:szCs w:val="16"/>
              </w:rPr>
            </w:pPr>
          </w:p>
        </w:tc>
        <w:tc>
          <w:tcPr>
            <w:tcW w:w="830" w:type="dxa"/>
            <w:vMerge w:val="continue"/>
            <w:vAlign w:val="center"/>
          </w:tcPr>
          <w:p w14:paraId="62AF3302">
            <w:pPr>
              <w:widowControl/>
              <w:jc w:val="left"/>
              <w:rPr>
                <w:rFonts w:ascii="宋体" w:hAnsi="宋体" w:cs="宋体"/>
                <w:color w:val="000000"/>
                <w:kern w:val="0"/>
                <w:sz w:val="16"/>
                <w:szCs w:val="16"/>
              </w:rPr>
            </w:pPr>
          </w:p>
        </w:tc>
        <w:tc>
          <w:tcPr>
            <w:tcW w:w="988" w:type="dxa"/>
            <w:vMerge w:val="continue"/>
            <w:vAlign w:val="center"/>
          </w:tcPr>
          <w:p w14:paraId="7644CF21">
            <w:pPr>
              <w:widowControl/>
              <w:jc w:val="left"/>
              <w:rPr>
                <w:rFonts w:ascii="宋体" w:hAnsi="宋体" w:cs="宋体"/>
                <w:color w:val="000000"/>
                <w:kern w:val="0"/>
                <w:sz w:val="16"/>
                <w:szCs w:val="16"/>
              </w:rPr>
            </w:pPr>
          </w:p>
        </w:tc>
        <w:tc>
          <w:tcPr>
            <w:tcW w:w="1081" w:type="dxa"/>
            <w:vMerge w:val="restart"/>
            <w:shd w:val="clear" w:color="auto" w:fill="auto"/>
            <w:vAlign w:val="center"/>
          </w:tcPr>
          <w:p w14:paraId="48CB2B69">
            <w:pPr>
              <w:widowControl/>
              <w:jc w:val="center"/>
              <w:rPr>
                <w:rFonts w:ascii="宋体" w:hAnsi="宋体" w:cs="宋体"/>
                <w:color w:val="000000"/>
                <w:kern w:val="0"/>
                <w:sz w:val="16"/>
                <w:szCs w:val="16"/>
              </w:rPr>
            </w:pPr>
            <w:r>
              <w:rPr>
                <w:rFonts w:hint="eastAsia" w:ascii="宋体" w:hAnsi="宋体" w:cs="宋体"/>
                <w:color w:val="000000"/>
                <w:kern w:val="0"/>
                <w:sz w:val="16"/>
                <w:szCs w:val="16"/>
              </w:rPr>
              <w:t>主要检验设备</w:t>
            </w:r>
          </w:p>
        </w:tc>
        <w:tc>
          <w:tcPr>
            <w:tcW w:w="1240" w:type="dxa"/>
            <w:vMerge w:val="restart"/>
            <w:shd w:val="clear" w:color="auto" w:fill="auto"/>
            <w:vAlign w:val="center"/>
          </w:tcPr>
          <w:p w14:paraId="354D2FE4">
            <w:pPr>
              <w:widowControl/>
              <w:jc w:val="center"/>
              <w:rPr>
                <w:rFonts w:ascii="宋体" w:hAnsi="宋体" w:cs="宋体"/>
                <w:color w:val="000000"/>
                <w:kern w:val="0"/>
                <w:sz w:val="16"/>
                <w:szCs w:val="16"/>
              </w:rPr>
            </w:pPr>
            <w:r>
              <w:rPr>
                <w:rFonts w:hint="eastAsia" w:ascii="宋体" w:hAnsi="宋体" w:cs="宋体"/>
                <w:color w:val="000000"/>
                <w:kern w:val="0"/>
                <w:sz w:val="16"/>
                <w:szCs w:val="16"/>
              </w:rPr>
              <w:t>设备数量</w:t>
            </w:r>
          </w:p>
        </w:tc>
        <w:tc>
          <w:tcPr>
            <w:tcW w:w="1036" w:type="dxa"/>
            <w:vMerge w:val="restart"/>
            <w:shd w:val="clear" w:color="auto" w:fill="auto"/>
            <w:vAlign w:val="center"/>
          </w:tcPr>
          <w:p w14:paraId="6D330203">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58E1122B">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满足所有进货检验、过程检验、过程监控和出厂试验要求</w:t>
            </w:r>
          </w:p>
        </w:tc>
        <w:tc>
          <w:tcPr>
            <w:tcW w:w="456" w:type="dxa"/>
            <w:shd w:val="clear" w:color="000000" w:fill="D9D9D9"/>
            <w:vAlign w:val="center"/>
          </w:tcPr>
          <w:p w14:paraId="4D82D6CF">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2F779F36">
            <w:pPr>
              <w:widowControl/>
              <w:jc w:val="left"/>
              <w:rPr>
                <w:rFonts w:ascii="等线" w:hAnsi="等线" w:eastAsia="等线" w:cs="宋体"/>
                <w:color w:val="000000"/>
                <w:kern w:val="0"/>
                <w:sz w:val="16"/>
                <w:szCs w:val="16"/>
              </w:rPr>
            </w:pPr>
          </w:p>
        </w:tc>
      </w:tr>
      <w:tr w14:paraId="77F56A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80" w:type="dxa"/>
            <w:vMerge w:val="continue"/>
            <w:vAlign w:val="center"/>
          </w:tcPr>
          <w:p w14:paraId="441F3A8E">
            <w:pPr>
              <w:widowControl/>
              <w:jc w:val="left"/>
              <w:rPr>
                <w:rFonts w:ascii="等线" w:hAnsi="等线" w:eastAsia="等线" w:cs="宋体"/>
                <w:color w:val="000000"/>
                <w:kern w:val="0"/>
                <w:sz w:val="16"/>
                <w:szCs w:val="16"/>
              </w:rPr>
            </w:pPr>
          </w:p>
        </w:tc>
        <w:tc>
          <w:tcPr>
            <w:tcW w:w="830" w:type="dxa"/>
            <w:vMerge w:val="continue"/>
            <w:vAlign w:val="center"/>
          </w:tcPr>
          <w:p w14:paraId="7D1632AC">
            <w:pPr>
              <w:widowControl/>
              <w:jc w:val="left"/>
              <w:rPr>
                <w:rFonts w:ascii="宋体" w:hAnsi="宋体" w:cs="宋体"/>
                <w:color w:val="000000"/>
                <w:kern w:val="0"/>
                <w:sz w:val="16"/>
                <w:szCs w:val="16"/>
              </w:rPr>
            </w:pPr>
          </w:p>
        </w:tc>
        <w:tc>
          <w:tcPr>
            <w:tcW w:w="988" w:type="dxa"/>
            <w:vMerge w:val="continue"/>
            <w:vAlign w:val="center"/>
          </w:tcPr>
          <w:p w14:paraId="57A2EF90">
            <w:pPr>
              <w:widowControl/>
              <w:jc w:val="left"/>
              <w:rPr>
                <w:rFonts w:ascii="宋体" w:hAnsi="宋体" w:cs="宋体"/>
                <w:color w:val="000000"/>
                <w:kern w:val="0"/>
                <w:sz w:val="16"/>
                <w:szCs w:val="16"/>
              </w:rPr>
            </w:pPr>
          </w:p>
        </w:tc>
        <w:tc>
          <w:tcPr>
            <w:tcW w:w="1081" w:type="dxa"/>
            <w:vMerge w:val="continue"/>
            <w:vAlign w:val="center"/>
          </w:tcPr>
          <w:p w14:paraId="20CD438D">
            <w:pPr>
              <w:widowControl/>
              <w:jc w:val="left"/>
              <w:rPr>
                <w:rFonts w:ascii="宋体" w:hAnsi="宋体" w:cs="宋体"/>
                <w:color w:val="000000"/>
                <w:kern w:val="0"/>
                <w:sz w:val="16"/>
                <w:szCs w:val="16"/>
              </w:rPr>
            </w:pPr>
          </w:p>
        </w:tc>
        <w:tc>
          <w:tcPr>
            <w:tcW w:w="1240" w:type="dxa"/>
            <w:vMerge w:val="continue"/>
            <w:vAlign w:val="center"/>
          </w:tcPr>
          <w:p w14:paraId="7DA542B3">
            <w:pPr>
              <w:widowControl/>
              <w:jc w:val="left"/>
              <w:rPr>
                <w:rFonts w:ascii="宋体" w:hAnsi="宋体" w:cs="宋体"/>
                <w:color w:val="000000"/>
                <w:kern w:val="0"/>
                <w:sz w:val="16"/>
                <w:szCs w:val="16"/>
              </w:rPr>
            </w:pPr>
          </w:p>
        </w:tc>
        <w:tc>
          <w:tcPr>
            <w:tcW w:w="1036" w:type="dxa"/>
            <w:vMerge w:val="continue"/>
            <w:vAlign w:val="center"/>
          </w:tcPr>
          <w:p w14:paraId="47FCBBFF">
            <w:pPr>
              <w:widowControl/>
              <w:jc w:val="left"/>
              <w:rPr>
                <w:rFonts w:ascii="宋体" w:hAnsi="宋体" w:cs="宋体"/>
                <w:color w:val="000000"/>
                <w:kern w:val="0"/>
                <w:sz w:val="16"/>
                <w:szCs w:val="16"/>
              </w:rPr>
            </w:pPr>
          </w:p>
        </w:tc>
        <w:tc>
          <w:tcPr>
            <w:tcW w:w="2148" w:type="dxa"/>
            <w:shd w:val="clear" w:color="auto" w:fill="auto"/>
            <w:vAlign w:val="center"/>
          </w:tcPr>
          <w:p w14:paraId="45C4FFED">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仅满足关键原材料和部件进货检验、生产过程关键项目、关键工序监控和出厂试验要求</w:t>
            </w:r>
          </w:p>
        </w:tc>
        <w:tc>
          <w:tcPr>
            <w:tcW w:w="456" w:type="dxa"/>
            <w:shd w:val="clear" w:color="auto" w:fill="auto"/>
            <w:vAlign w:val="center"/>
          </w:tcPr>
          <w:p w14:paraId="319AFC38">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w:t>
            </w:r>
          </w:p>
        </w:tc>
        <w:tc>
          <w:tcPr>
            <w:tcW w:w="1043" w:type="dxa"/>
            <w:gridSpan w:val="2"/>
            <w:vMerge w:val="continue"/>
            <w:vAlign w:val="center"/>
          </w:tcPr>
          <w:p w14:paraId="21CAB102">
            <w:pPr>
              <w:widowControl/>
              <w:jc w:val="left"/>
              <w:rPr>
                <w:rFonts w:ascii="等线" w:hAnsi="等线" w:eastAsia="等线" w:cs="宋体"/>
                <w:color w:val="000000"/>
                <w:kern w:val="0"/>
                <w:sz w:val="16"/>
                <w:szCs w:val="16"/>
              </w:rPr>
            </w:pPr>
          </w:p>
        </w:tc>
      </w:tr>
      <w:tr w14:paraId="4664C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580" w:type="dxa"/>
            <w:vMerge w:val="continue"/>
            <w:vAlign w:val="center"/>
          </w:tcPr>
          <w:p w14:paraId="1CF80384">
            <w:pPr>
              <w:widowControl/>
              <w:jc w:val="left"/>
              <w:rPr>
                <w:rFonts w:ascii="等线" w:hAnsi="等线" w:eastAsia="等线" w:cs="宋体"/>
                <w:color w:val="000000"/>
                <w:kern w:val="0"/>
                <w:sz w:val="16"/>
                <w:szCs w:val="16"/>
              </w:rPr>
            </w:pPr>
          </w:p>
        </w:tc>
        <w:tc>
          <w:tcPr>
            <w:tcW w:w="830" w:type="dxa"/>
            <w:vMerge w:val="continue"/>
            <w:vAlign w:val="center"/>
          </w:tcPr>
          <w:p w14:paraId="71ABA276">
            <w:pPr>
              <w:widowControl/>
              <w:jc w:val="left"/>
              <w:rPr>
                <w:rFonts w:ascii="宋体" w:hAnsi="宋体" w:cs="宋体"/>
                <w:color w:val="000000"/>
                <w:kern w:val="0"/>
                <w:sz w:val="16"/>
                <w:szCs w:val="16"/>
              </w:rPr>
            </w:pPr>
          </w:p>
        </w:tc>
        <w:tc>
          <w:tcPr>
            <w:tcW w:w="988" w:type="dxa"/>
            <w:vMerge w:val="continue"/>
            <w:vAlign w:val="center"/>
          </w:tcPr>
          <w:p w14:paraId="60847BF5">
            <w:pPr>
              <w:widowControl/>
              <w:jc w:val="left"/>
              <w:rPr>
                <w:rFonts w:ascii="宋体" w:hAnsi="宋体" w:cs="宋体"/>
                <w:color w:val="000000"/>
                <w:kern w:val="0"/>
                <w:sz w:val="16"/>
                <w:szCs w:val="16"/>
              </w:rPr>
            </w:pPr>
          </w:p>
        </w:tc>
        <w:tc>
          <w:tcPr>
            <w:tcW w:w="1081" w:type="dxa"/>
            <w:vMerge w:val="continue"/>
            <w:vAlign w:val="center"/>
          </w:tcPr>
          <w:p w14:paraId="55943FD8">
            <w:pPr>
              <w:widowControl/>
              <w:jc w:val="left"/>
              <w:rPr>
                <w:rFonts w:ascii="宋体" w:hAnsi="宋体" w:cs="宋体"/>
                <w:color w:val="000000"/>
                <w:kern w:val="0"/>
                <w:sz w:val="16"/>
                <w:szCs w:val="16"/>
              </w:rPr>
            </w:pPr>
          </w:p>
        </w:tc>
        <w:tc>
          <w:tcPr>
            <w:tcW w:w="1240" w:type="dxa"/>
            <w:vMerge w:val="continue"/>
            <w:vAlign w:val="center"/>
          </w:tcPr>
          <w:p w14:paraId="33621324">
            <w:pPr>
              <w:widowControl/>
              <w:jc w:val="left"/>
              <w:rPr>
                <w:rFonts w:ascii="宋体" w:hAnsi="宋体" w:cs="宋体"/>
                <w:color w:val="000000"/>
                <w:kern w:val="0"/>
                <w:sz w:val="16"/>
                <w:szCs w:val="16"/>
              </w:rPr>
            </w:pPr>
          </w:p>
        </w:tc>
        <w:tc>
          <w:tcPr>
            <w:tcW w:w="1036" w:type="dxa"/>
            <w:vMerge w:val="continue"/>
            <w:vAlign w:val="center"/>
          </w:tcPr>
          <w:p w14:paraId="54852577">
            <w:pPr>
              <w:widowControl/>
              <w:jc w:val="left"/>
              <w:rPr>
                <w:rFonts w:ascii="宋体" w:hAnsi="宋体" w:cs="宋体"/>
                <w:color w:val="000000"/>
                <w:kern w:val="0"/>
                <w:sz w:val="16"/>
                <w:szCs w:val="16"/>
              </w:rPr>
            </w:pPr>
          </w:p>
        </w:tc>
        <w:tc>
          <w:tcPr>
            <w:tcW w:w="2148" w:type="dxa"/>
            <w:shd w:val="clear" w:color="auto" w:fill="auto"/>
            <w:vAlign w:val="center"/>
          </w:tcPr>
          <w:p w14:paraId="12FB3AD2">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关键原材料和部件进货检验、生产过程关键项目、关键工序监控和出厂试验任有一项缺失</w:t>
            </w:r>
          </w:p>
        </w:tc>
        <w:tc>
          <w:tcPr>
            <w:tcW w:w="456" w:type="dxa"/>
            <w:shd w:val="clear" w:color="auto" w:fill="auto"/>
            <w:vAlign w:val="center"/>
          </w:tcPr>
          <w:p w14:paraId="4B0C560B">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334DAFF9">
            <w:pPr>
              <w:widowControl/>
              <w:jc w:val="left"/>
              <w:rPr>
                <w:rFonts w:ascii="等线" w:hAnsi="等线" w:eastAsia="等线" w:cs="宋体"/>
                <w:color w:val="000000"/>
                <w:kern w:val="0"/>
                <w:sz w:val="16"/>
                <w:szCs w:val="16"/>
              </w:rPr>
            </w:pPr>
          </w:p>
        </w:tc>
      </w:tr>
      <w:tr w14:paraId="562B95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580" w:type="dxa"/>
            <w:vMerge w:val="continue"/>
            <w:vAlign w:val="center"/>
          </w:tcPr>
          <w:p w14:paraId="22CD1220">
            <w:pPr>
              <w:widowControl/>
              <w:jc w:val="left"/>
              <w:rPr>
                <w:rFonts w:ascii="等线" w:hAnsi="等线" w:eastAsia="等线" w:cs="宋体"/>
                <w:color w:val="000000"/>
                <w:kern w:val="0"/>
                <w:sz w:val="16"/>
                <w:szCs w:val="16"/>
              </w:rPr>
            </w:pPr>
          </w:p>
        </w:tc>
        <w:tc>
          <w:tcPr>
            <w:tcW w:w="830" w:type="dxa"/>
            <w:vMerge w:val="continue"/>
            <w:vAlign w:val="center"/>
          </w:tcPr>
          <w:p w14:paraId="303D2B45">
            <w:pPr>
              <w:widowControl/>
              <w:jc w:val="left"/>
              <w:rPr>
                <w:rFonts w:ascii="宋体" w:hAnsi="宋体" w:cs="宋体"/>
                <w:color w:val="000000"/>
                <w:kern w:val="0"/>
                <w:sz w:val="16"/>
                <w:szCs w:val="16"/>
              </w:rPr>
            </w:pPr>
          </w:p>
        </w:tc>
        <w:tc>
          <w:tcPr>
            <w:tcW w:w="988" w:type="dxa"/>
            <w:vMerge w:val="continue"/>
            <w:vAlign w:val="center"/>
          </w:tcPr>
          <w:p w14:paraId="35B1C125">
            <w:pPr>
              <w:widowControl/>
              <w:jc w:val="left"/>
              <w:rPr>
                <w:rFonts w:ascii="宋体" w:hAnsi="宋体" w:cs="宋体"/>
                <w:color w:val="000000"/>
                <w:kern w:val="0"/>
                <w:sz w:val="16"/>
                <w:szCs w:val="16"/>
              </w:rPr>
            </w:pPr>
          </w:p>
        </w:tc>
        <w:tc>
          <w:tcPr>
            <w:tcW w:w="1081" w:type="dxa"/>
            <w:vMerge w:val="continue"/>
            <w:vAlign w:val="center"/>
          </w:tcPr>
          <w:p w14:paraId="7F4B826D">
            <w:pPr>
              <w:widowControl/>
              <w:jc w:val="left"/>
              <w:rPr>
                <w:rFonts w:ascii="宋体" w:hAnsi="宋体" w:cs="宋体"/>
                <w:color w:val="000000"/>
                <w:kern w:val="0"/>
                <w:sz w:val="16"/>
                <w:szCs w:val="16"/>
              </w:rPr>
            </w:pPr>
          </w:p>
        </w:tc>
        <w:tc>
          <w:tcPr>
            <w:tcW w:w="1240" w:type="dxa"/>
            <w:vMerge w:val="restart"/>
            <w:shd w:val="clear" w:color="auto" w:fill="auto"/>
            <w:vAlign w:val="center"/>
          </w:tcPr>
          <w:p w14:paraId="0ED79593">
            <w:pPr>
              <w:widowControl/>
              <w:jc w:val="center"/>
              <w:rPr>
                <w:rFonts w:ascii="宋体" w:hAnsi="宋体" w:cs="宋体"/>
                <w:color w:val="000000"/>
                <w:kern w:val="0"/>
                <w:sz w:val="16"/>
                <w:szCs w:val="16"/>
              </w:rPr>
            </w:pPr>
            <w:r>
              <w:rPr>
                <w:rFonts w:hint="eastAsia" w:ascii="宋体" w:hAnsi="宋体" w:cs="宋体"/>
                <w:color w:val="000000"/>
                <w:kern w:val="0"/>
                <w:sz w:val="16"/>
                <w:szCs w:val="16"/>
              </w:rPr>
              <w:t>计量校准</w:t>
            </w:r>
          </w:p>
        </w:tc>
        <w:tc>
          <w:tcPr>
            <w:tcW w:w="1036" w:type="dxa"/>
            <w:vMerge w:val="restart"/>
            <w:shd w:val="clear" w:color="auto" w:fill="auto"/>
            <w:vAlign w:val="center"/>
          </w:tcPr>
          <w:p w14:paraId="7F91D32F">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185FA76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制定仪器设备校准计划、按计划校准，仪器设备在校准有效期内</w:t>
            </w:r>
          </w:p>
        </w:tc>
        <w:tc>
          <w:tcPr>
            <w:tcW w:w="456" w:type="dxa"/>
            <w:shd w:val="clear" w:color="000000" w:fill="D9D9D9"/>
            <w:vAlign w:val="center"/>
          </w:tcPr>
          <w:p w14:paraId="28A6525E">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0FB2B738">
            <w:pPr>
              <w:widowControl/>
              <w:jc w:val="left"/>
              <w:rPr>
                <w:rFonts w:ascii="等线" w:hAnsi="等线" w:eastAsia="等线" w:cs="宋体"/>
                <w:color w:val="000000"/>
                <w:kern w:val="0"/>
                <w:sz w:val="16"/>
                <w:szCs w:val="16"/>
              </w:rPr>
            </w:pPr>
          </w:p>
        </w:tc>
      </w:tr>
      <w:tr w14:paraId="068B2B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610E0F90">
            <w:pPr>
              <w:widowControl/>
              <w:jc w:val="left"/>
              <w:rPr>
                <w:rFonts w:ascii="等线" w:hAnsi="等线" w:eastAsia="等线" w:cs="宋体"/>
                <w:color w:val="000000"/>
                <w:kern w:val="0"/>
                <w:sz w:val="16"/>
                <w:szCs w:val="16"/>
              </w:rPr>
            </w:pPr>
          </w:p>
        </w:tc>
        <w:tc>
          <w:tcPr>
            <w:tcW w:w="830" w:type="dxa"/>
            <w:vMerge w:val="continue"/>
            <w:vAlign w:val="center"/>
          </w:tcPr>
          <w:p w14:paraId="7377EE09">
            <w:pPr>
              <w:widowControl/>
              <w:jc w:val="left"/>
              <w:rPr>
                <w:rFonts w:ascii="宋体" w:hAnsi="宋体" w:cs="宋体"/>
                <w:color w:val="000000"/>
                <w:kern w:val="0"/>
                <w:sz w:val="16"/>
                <w:szCs w:val="16"/>
              </w:rPr>
            </w:pPr>
          </w:p>
        </w:tc>
        <w:tc>
          <w:tcPr>
            <w:tcW w:w="988" w:type="dxa"/>
            <w:vMerge w:val="continue"/>
            <w:vAlign w:val="center"/>
          </w:tcPr>
          <w:p w14:paraId="5AF3D098">
            <w:pPr>
              <w:widowControl/>
              <w:jc w:val="left"/>
              <w:rPr>
                <w:rFonts w:ascii="宋体" w:hAnsi="宋体" w:cs="宋体"/>
                <w:color w:val="000000"/>
                <w:kern w:val="0"/>
                <w:sz w:val="16"/>
                <w:szCs w:val="16"/>
              </w:rPr>
            </w:pPr>
          </w:p>
        </w:tc>
        <w:tc>
          <w:tcPr>
            <w:tcW w:w="1081" w:type="dxa"/>
            <w:vMerge w:val="continue"/>
            <w:vAlign w:val="center"/>
          </w:tcPr>
          <w:p w14:paraId="569644D6">
            <w:pPr>
              <w:widowControl/>
              <w:jc w:val="left"/>
              <w:rPr>
                <w:rFonts w:ascii="宋体" w:hAnsi="宋体" w:cs="宋体"/>
                <w:color w:val="000000"/>
                <w:kern w:val="0"/>
                <w:sz w:val="16"/>
                <w:szCs w:val="16"/>
              </w:rPr>
            </w:pPr>
          </w:p>
        </w:tc>
        <w:tc>
          <w:tcPr>
            <w:tcW w:w="1240" w:type="dxa"/>
            <w:vMerge w:val="continue"/>
            <w:vAlign w:val="center"/>
          </w:tcPr>
          <w:p w14:paraId="5DDBBBFA">
            <w:pPr>
              <w:widowControl/>
              <w:jc w:val="left"/>
              <w:rPr>
                <w:rFonts w:ascii="宋体" w:hAnsi="宋体" w:cs="宋体"/>
                <w:color w:val="000000"/>
                <w:kern w:val="0"/>
                <w:sz w:val="16"/>
                <w:szCs w:val="16"/>
              </w:rPr>
            </w:pPr>
          </w:p>
        </w:tc>
        <w:tc>
          <w:tcPr>
            <w:tcW w:w="1036" w:type="dxa"/>
            <w:vMerge w:val="continue"/>
            <w:vAlign w:val="center"/>
          </w:tcPr>
          <w:p w14:paraId="51C757C9">
            <w:pPr>
              <w:widowControl/>
              <w:jc w:val="left"/>
              <w:rPr>
                <w:rFonts w:ascii="宋体" w:hAnsi="宋体" w:cs="宋体"/>
                <w:color w:val="000000"/>
                <w:kern w:val="0"/>
                <w:sz w:val="16"/>
                <w:szCs w:val="16"/>
              </w:rPr>
            </w:pPr>
          </w:p>
        </w:tc>
        <w:tc>
          <w:tcPr>
            <w:tcW w:w="2148" w:type="dxa"/>
            <w:shd w:val="clear" w:color="auto" w:fill="auto"/>
            <w:vAlign w:val="center"/>
          </w:tcPr>
          <w:p w14:paraId="677F9E6C">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仪器设备均有校准，在校准有效期内</w:t>
            </w:r>
          </w:p>
        </w:tc>
        <w:tc>
          <w:tcPr>
            <w:tcW w:w="456" w:type="dxa"/>
            <w:shd w:val="clear" w:color="auto" w:fill="auto"/>
            <w:vAlign w:val="center"/>
          </w:tcPr>
          <w:p w14:paraId="25ED7E5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w:t>
            </w:r>
          </w:p>
        </w:tc>
        <w:tc>
          <w:tcPr>
            <w:tcW w:w="1043" w:type="dxa"/>
            <w:gridSpan w:val="2"/>
            <w:vMerge w:val="continue"/>
            <w:vAlign w:val="center"/>
          </w:tcPr>
          <w:p w14:paraId="23156332">
            <w:pPr>
              <w:widowControl/>
              <w:jc w:val="left"/>
              <w:rPr>
                <w:rFonts w:ascii="等线" w:hAnsi="等线" w:eastAsia="等线" w:cs="宋体"/>
                <w:color w:val="000000"/>
                <w:kern w:val="0"/>
                <w:sz w:val="16"/>
                <w:szCs w:val="16"/>
              </w:rPr>
            </w:pPr>
          </w:p>
        </w:tc>
      </w:tr>
      <w:tr w14:paraId="2ED6AC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24102856">
            <w:pPr>
              <w:widowControl/>
              <w:jc w:val="left"/>
              <w:rPr>
                <w:rFonts w:ascii="等线" w:hAnsi="等线" w:eastAsia="等线" w:cs="宋体"/>
                <w:color w:val="000000"/>
                <w:kern w:val="0"/>
                <w:sz w:val="16"/>
                <w:szCs w:val="16"/>
              </w:rPr>
            </w:pPr>
          </w:p>
        </w:tc>
        <w:tc>
          <w:tcPr>
            <w:tcW w:w="830" w:type="dxa"/>
            <w:vMerge w:val="continue"/>
            <w:vAlign w:val="center"/>
          </w:tcPr>
          <w:p w14:paraId="1AE8417D">
            <w:pPr>
              <w:widowControl/>
              <w:jc w:val="left"/>
              <w:rPr>
                <w:rFonts w:ascii="宋体" w:hAnsi="宋体" w:cs="宋体"/>
                <w:color w:val="000000"/>
                <w:kern w:val="0"/>
                <w:sz w:val="16"/>
                <w:szCs w:val="16"/>
              </w:rPr>
            </w:pPr>
          </w:p>
        </w:tc>
        <w:tc>
          <w:tcPr>
            <w:tcW w:w="988" w:type="dxa"/>
            <w:vMerge w:val="continue"/>
            <w:vAlign w:val="center"/>
          </w:tcPr>
          <w:p w14:paraId="5B250E82">
            <w:pPr>
              <w:widowControl/>
              <w:jc w:val="left"/>
              <w:rPr>
                <w:rFonts w:ascii="宋体" w:hAnsi="宋体" w:cs="宋体"/>
                <w:color w:val="000000"/>
                <w:kern w:val="0"/>
                <w:sz w:val="16"/>
                <w:szCs w:val="16"/>
              </w:rPr>
            </w:pPr>
          </w:p>
        </w:tc>
        <w:tc>
          <w:tcPr>
            <w:tcW w:w="1081" w:type="dxa"/>
            <w:vMerge w:val="continue"/>
            <w:vAlign w:val="center"/>
          </w:tcPr>
          <w:p w14:paraId="37AA709C">
            <w:pPr>
              <w:widowControl/>
              <w:jc w:val="left"/>
              <w:rPr>
                <w:rFonts w:ascii="宋体" w:hAnsi="宋体" w:cs="宋体"/>
                <w:color w:val="000000"/>
                <w:kern w:val="0"/>
                <w:sz w:val="16"/>
                <w:szCs w:val="16"/>
              </w:rPr>
            </w:pPr>
          </w:p>
        </w:tc>
        <w:tc>
          <w:tcPr>
            <w:tcW w:w="1240" w:type="dxa"/>
            <w:vMerge w:val="continue"/>
            <w:vAlign w:val="center"/>
          </w:tcPr>
          <w:p w14:paraId="20AEF348">
            <w:pPr>
              <w:widowControl/>
              <w:jc w:val="left"/>
              <w:rPr>
                <w:rFonts w:ascii="宋体" w:hAnsi="宋体" w:cs="宋体"/>
                <w:color w:val="000000"/>
                <w:kern w:val="0"/>
                <w:sz w:val="16"/>
                <w:szCs w:val="16"/>
              </w:rPr>
            </w:pPr>
          </w:p>
        </w:tc>
        <w:tc>
          <w:tcPr>
            <w:tcW w:w="1036" w:type="dxa"/>
            <w:vMerge w:val="continue"/>
            <w:vAlign w:val="center"/>
          </w:tcPr>
          <w:p w14:paraId="72B7C621">
            <w:pPr>
              <w:widowControl/>
              <w:jc w:val="left"/>
              <w:rPr>
                <w:rFonts w:ascii="宋体" w:hAnsi="宋体" w:cs="宋体"/>
                <w:color w:val="000000"/>
                <w:kern w:val="0"/>
                <w:sz w:val="16"/>
                <w:szCs w:val="16"/>
              </w:rPr>
            </w:pPr>
          </w:p>
        </w:tc>
        <w:tc>
          <w:tcPr>
            <w:tcW w:w="2148" w:type="dxa"/>
            <w:shd w:val="clear" w:color="auto" w:fill="auto"/>
            <w:vAlign w:val="center"/>
          </w:tcPr>
          <w:p w14:paraId="0F38C9F1">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关键仪器设备均有校准，在校准有效期内</w:t>
            </w:r>
          </w:p>
        </w:tc>
        <w:tc>
          <w:tcPr>
            <w:tcW w:w="456" w:type="dxa"/>
            <w:shd w:val="clear" w:color="auto" w:fill="auto"/>
            <w:vAlign w:val="center"/>
          </w:tcPr>
          <w:p w14:paraId="10A7D009">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p>
        </w:tc>
        <w:tc>
          <w:tcPr>
            <w:tcW w:w="1043" w:type="dxa"/>
            <w:gridSpan w:val="2"/>
            <w:vMerge w:val="continue"/>
            <w:vAlign w:val="center"/>
          </w:tcPr>
          <w:p w14:paraId="10E4A690">
            <w:pPr>
              <w:widowControl/>
              <w:jc w:val="left"/>
              <w:rPr>
                <w:rFonts w:ascii="等线" w:hAnsi="等线" w:eastAsia="等线" w:cs="宋体"/>
                <w:color w:val="000000"/>
                <w:kern w:val="0"/>
                <w:sz w:val="16"/>
                <w:szCs w:val="16"/>
              </w:rPr>
            </w:pPr>
          </w:p>
        </w:tc>
      </w:tr>
      <w:tr w14:paraId="0C3B98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7C95D183">
            <w:pPr>
              <w:widowControl/>
              <w:jc w:val="left"/>
              <w:rPr>
                <w:rFonts w:ascii="等线" w:hAnsi="等线" w:eastAsia="等线" w:cs="宋体"/>
                <w:color w:val="000000"/>
                <w:kern w:val="0"/>
                <w:sz w:val="16"/>
                <w:szCs w:val="16"/>
              </w:rPr>
            </w:pPr>
          </w:p>
        </w:tc>
        <w:tc>
          <w:tcPr>
            <w:tcW w:w="830" w:type="dxa"/>
            <w:vMerge w:val="continue"/>
            <w:vAlign w:val="center"/>
          </w:tcPr>
          <w:p w14:paraId="1A938DE5">
            <w:pPr>
              <w:widowControl/>
              <w:jc w:val="left"/>
              <w:rPr>
                <w:rFonts w:ascii="宋体" w:hAnsi="宋体" w:cs="宋体"/>
                <w:color w:val="000000"/>
                <w:kern w:val="0"/>
                <w:sz w:val="16"/>
                <w:szCs w:val="16"/>
              </w:rPr>
            </w:pPr>
          </w:p>
        </w:tc>
        <w:tc>
          <w:tcPr>
            <w:tcW w:w="988" w:type="dxa"/>
            <w:vMerge w:val="continue"/>
            <w:vAlign w:val="center"/>
          </w:tcPr>
          <w:p w14:paraId="29B7550C">
            <w:pPr>
              <w:widowControl/>
              <w:jc w:val="left"/>
              <w:rPr>
                <w:rFonts w:ascii="宋体" w:hAnsi="宋体" w:cs="宋体"/>
                <w:color w:val="000000"/>
                <w:kern w:val="0"/>
                <w:sz w:val="16"/>
                <w:szCs w:val="16"/>
              </w:rPr>
            </w:pPr>
          </w:p>
        </w:tc>
        <w:tc>
          <w:tcPr>
            <w:tcW w:w="1081" w:type="dxa"/>
            <w:vMerge w:val="continue"/>
            <w:vAlign w:val="center"/>
          </w:tcPr>
          <w:p w14:paraId="79467271">
            <w:pPr>
              <w:widowControl/>
              <w:jc w:val="left"/>
              <w:rPr>
                <w:rFonts w:ascii="宋体" w:hAnsi="宋体" w:cs="宋体"/>
                <w:color w:val="000000"/>
                <w:kern w:val="0"/>
                <w:sz w:val="16"/>
                <w:szCs w:val="16"/>
              </w:rPr>
            </w:pPr>
          </w:p>
        </w:tc>
        <w:tc>
          <w:tcPr>
            <w:tcW w:w="1240" w:type="dxa"/>
            <w:vMerge w:val="continue"/>
            <w:vAlign w:val="center"/>
          </w:tcPr>
          <w:p w14:paraId="1EA14506">
            <w:pPr>
              <w:widowControl/>
              <w:jc w:val="left"/>
              <w:rPr>
                <w:rFonts w:ascii="宋体" w:hAnsi="宋体" w:cs="宋体"/>
                <w:color w:val="000000"/>
                <w:kern w:val="0"/>
                <w:sz w:val="16"/>
                <w:szCs w:val="16"/>
              </w:rPr>
            </w:pPr>
          </w:p>
        </w:tc>
        <w:tc>
          <w:tcPr>
            <w:tcW w:w="1036" w:type="dxa"/>
            <w:vMerge w:val="continue"/>
            <w:vAlign w:val="center"/>
          </w:tcPr>
          <w:p w14:paraId="2BE1C748">
            <w:pPr>
              <w:widowControl/>
              <w:jc w:val="left"/>
              <w:rPr>
                <w:rFonts w:ascii="宋体" w:hAnsi="宋体" w:cs="宋体"/>
                <w:color w:val="000000"/>
                <w:kern w:val="0"/>
                <w:sz w:val="16"/>
                <w:szCs w:val="16"/>
              </w:rPr>
            </w:pPr>
          </w:p>
        </w:tc>
        <w:tc>
          <w:tcPr>
            <w:tcW w:w="2148" w:type="dxa"/>
            <w:shd w:val="clear" w:color="auto" w:fill="auto"/>
            <w:vAlign w:val="center"/>
          </w:tcPr>
          <w:p w14:paraId="0FA6CF4E">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关键仪器设备未校准</w:t>
            </w:r>
          </w:p>
        </w:tc>
        <w:tc>
          <w:tcPr>
            <w:tcW w:w="456" w:type="dxa"/>
            <w:shd w:val="clear" w:color="auto" w:fill="auto"/>
            <w:vAlign w:val="center"/>
          </w:tcPr>
          <w:p w14:paraId="0D6B9504">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73407E56">
            <w:pPr>
              <w:widowControl/>
              <w:jc w:val="left"/>
              <w:rPr>
                <w:rFonts w:ascii="等线" w:hAnsi="等线" w:eastAsia="等线" w:cs="宋体"/>
                <w:color w:val="000000"/>
                <w:kern w:val="0"/>
                <w:sz w:val="16"/>
                <w:szCs w:val="16"/>
              </w:rPr>
            </w:pPr>
          </w:p>
        </w:tc>
      </w:tr>
      <w:tr w14:paraId="1499D9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580" w:type="dxa"/>
            <w:vMerge w:val="continue"/>
            <w:vAlign w:val="center"/>
          </w:tcPr>
          <w:p w14:paraId="656228DF">
            <w:pPr>
              <w:widowControl/>
              <w:jc w:val="left"/>
              <w:rPr>
                <w:rFonts w:ascii="等线" w:hAnsi="等线" w:eastAsia="等线" w:cs="宋体"/>
                <w:color w:val="000000"/>
                <w:kern w:val="0"/>
                <w:sz w:val="16"/>
                <w:szCs w:val="16"/>
              </w:rPr>
            </w:pPr>
          </w:p>
        </w:tc>
        <w:tc>
          <w:tcPr>
            <w:tcW w:w="830" w:type="dxa"/>
            <w:vMerge w:val="continue"/>
            <w:vAlign w:val="center"/>
          </w:tcPr>
          <w:p w14:paraId="01C6CD87">
            <w:pPr>
              <w:widowControl/>
              <w:jc w:val="left"/>
              <w:rPr>
                <w:rFonts w:ascii="宋体" w:hAnsi="宋体" w:cs="宋体"/>
                <w:color w:val="000000"/>
                <w:kern w:val="0"/>
                <w:sz w:val="16"/>
                <w:szCs w:val="16"/>
              </w:rPr>
            </w:pPr>
          </w:p>
        </w:tc>
        <w:tc>
          <w:tcPr>
            <w:tcW w:w="988" w:type="dxa"/>
            <w:vMerge w:val="continue"/>
            <w:vAlign w:val="center"/>
          </w:tcPr>
          <w:p w14:paraId="42C777B4">
            <w:pPr>
              <w:widowControl/>
              <w:jc w:val="left"/>
              <w:rPr>
                <w:rFonts w:ascii="宋体" w:hAnsi="宋体" w:cs="宋体"/>
                <w:color w:val="000000"/>
                <w:kern w:val="0"/>
                <w:sz w:val="16"/>
                <w:szCs w:val="16"/>
              </w:rPr>
            </w:pPr>
          </w:p>
        </w:tc>
        <w:tc>
          <w:tcPr>
            <w:tcW w:w="1081" w:type="dxa"/>
            <w:vMerge w:val="restart"/>
            <w:shd w:val="clear" w:color="auto" w:fill="auto"/>
            <w:vAlign w:val="center"/>
          </w:tcPr>
          <w:p w14:paraId="79480F0E">
            <w:pPr>
              <w:widowControl/>
              <w:jc w:val="center"/>
              <w:rPr>
                <w:rFonts w:ascii="宋体" w:hAnsi="宋体" w:cs="宋体"/>
                <w:color w:val="000000"/>
                <w:kern w:val="0"/>
                <w:sz w:val="16"/>
                <w:szCs w:val="16"/>
              </w:rPr>
            </w:pPr>
            <w:r>
              <w:rPr>
                <w:rFonts w:hint="eastAsia" w:ascii="宋体" w:hAnsi="宋体" w:cs="宋体"/>
                <w:color w:val="000000"/>
                <w:kern w:val="0"/>
                <w:sz w:val="16"/>
                <w:szCs w:val="16"/>
              </w:rPr>
              <w:t>检验管理</w:t>
            </w:r>
          </w:p>
        </w:tc>
        <w:tc>
          <w:tcPr>
            <w:tcW w:w="1240" w:type="dxa"/>
            <w:vMerge w:val="restart"/>
            <w:shd w:val="clear" w:color="auto" w:fill="auto"/>
            <w:vAlign w:val="center"/>
          </w:tcPr>
          <w:p w14:paraId="5C7674AF">
            <w:pPr>
              <w:widowControl/>
              <w:jc w:val="center"/>
              <w:rPr>
                <w:rFonts w:ascii="宋体" w:hAnsi="宋体" w:cs="宋体"/>
                <w:color w:val="000000"/>
                <w:kern w:val="0"/>
                <w:sz w:val="16"/>
                <w:szCs w:val="16"/>
              </w:rPr>
            </w:pPr>
            <w:r>
              <w:rPr>
                <w:rFonts w:hint="eastAsia" w:ascii="宋体" w:hAnsi="宋体" w:cs="宋体"/>
                <w:color w:val="000000"/>
                <w:kern w:val="0"/>
                <w:sz w:val="16"/>
                <w:szCs w:val="16"/>
              </w:rPr>
              <w:t>检验标准管理</w:t>
            </w:r>
          </w:p>
        </w:tc>
        <w:tc>
          <w:tcPr>
            <w:tcW w:w="1036" w:type="dxa"/>
            <w:vMerge w:val="restart"/>
            <w:shd w:val="clear" w:color="auto" w:fill="auto"/>
            <w:vAlign w:val="center"/>
          </w:tcPr>
          <w:p w14:paraId="47674D4B">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610D096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建立标准管理制度，标准齐全，并均为有效版本</w:t>
            </w:r>
          </w:p>
        </w:tc>
        <w:tc>
          <w:tcPr>
            <w:tcW w:w="456" w:type="dxa"/>
            <w:shd w:val="clear" w:color="000000" w:fill="D9D9D9"/>
            <w:vAlign w:val="center"/>
          </w:tcPr>
          <w:p w14:paraId="4C2F192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5</w:t>
            </w:r>
          </w:p>
        </w:tc>
        <w:tc>
          <w:tcPr>
            <w:tcW w:w="1043" w:type="dxa"/>
            <w:gridSpan w:val="2"/>
            <w:vMerge w:val="continue"/>
            <w:vAlign w:val="center"/>
          </w:tcPr>
          <w:p w14:paraId="45E59BE1">
            <w:pPr>
              <w:widowControl/>
              <w:jc w:val="left"/>
              <w:rPr>
                <w:rFonts w:ascii="等线" w:hAnsi="等线" w:eastAsia="等线" w:cs="宋体"/>
                <w:color w:val="000000"/>
                <w:kern w:val="0"/>
                <w:sz w:val="16"/>
                <w:szCs w:val="16"/>
              </w:rPr>
            </w:pPr>
          </w:p>
        </w:tc>
      </w:tr>
      <w:tr w14:paraId="5535F7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80" w:type="dxa"/>
            <w:vMerge w:val="continue"/>
            <w:vAlign w:val="center"/>
          </w:tcPr>
          <w:p w14:paraId="6D4C6AD1">
            <w:pPr>
              <w:widowControl/>
              <w:jc w:val="left"/>
              <w:rPr>
                <w:rFonts w:ascii="等线" w:hAnsi="等线" w:eastAsia="等线" w:cs="宋体"/>
                <w:color w:val="000000"/>
                <w:kern w:val="0"/>
                <w:sz w:val="16"/>
                <w:szCs w:val="16"/>
              </w:rPr>
            </w:pPr>
          </w:p>
        </w:tc>
        <w:tc>
          <w:tcPr>
            <w:tcW w:w="830" w:type="dxa"/>
            <w:vMerge w:val="continue"/>
            <w:vAlign w:val="center"/>
          </w:tcPr>
          <w:p w14:paraId="27AABEB3">
            <w:pPr>
              <w:widowControl/>
              <w:jc w:val="left"/>
              <w:rPr>
                <w:rFonts w:ascii="宋体" w:hAnsi="宋体" w:cs="宋体"/>
                <w:color w:val="000000"/>
                <w:kern w:val="0"/>
                <w:sz w:val="16"/>
                <w:szCs w:val="16"/>
              </w:rPr>
            </w:pPr>
          </w:p>
        </w:tc>
        <w:tc>
          <w:tcPr>
            <w:tcW w:w="988" w:type="dxa"/>
            <w:vMerge w:val="continue"/>
            <w:vAlign w:val="center"/>
          </w:tcPr>
          <w:p w14:paraId="5C62ACB9">
            <w:pPr>
              <w:widowControl/>
              <w:jc w:val="left"/>
              <w:rPr>
                <w:rFonts w:ascii="宋体" w:hAnsi="宋体" w:cs="宋体"/>
                <w:color w:val="000000"/>
                <w:kern w:val="0"/>
                <w:sz w:val="16"/>
                <w:szCs w:val="16"/>
              </w:rPr>
            </w:pPr>
          </w:p>
        </w:tc>
        <w:tc>
          <w:tcPr>
            <w:tcW w:w="1081" w:type="dxa"/>
            <w:vMerge w:val="continue"/>
            <w:vAlign w:val="center"/>
          </w:tcPr>
          <w:p w14:paraId="50890AED">
            <w:pPr>
              <w:widowControl/>
              <w:jc w:val="left"/>
              <w:rPr>
                <w:rFonts w:ascii="宋体" w:hAnsi="宋体" w:cs="宋体"/>
                <w:color w:val="000000"/>
                <w:kern w:val="0"/>
                <w:sz w:val="16"/>
                <w:szCs w:val="16"/>
              </w:rPr>
            </w:pPr>
          </w:p>
        </w:tc>
        <w:tc>
          <w:tcPr>
            <w:tcW w:w="1240" w:type="dxa"/>
            <w:vMerge w:val="continue"/>
            <w:vAlign w:val="center"/>
          </w:tcPr>
          <w:p w14:paraId="3474F825">
            <w:pPr>
              <w:widowControl/>
              <w:jc w:val="left"/>
              <w:rPr>
                <w:rFonts w:ascii="宋体" w:hAnsi="宋体" w:cs="宋体"/>
                <w:color w:val="000000"/>
                <w:kern w:val="0"/>
                <w:sz w:val="16"/>
                <w:szCs w:val="16"/>
              </w:rPr>
            </w:pPr>
          </w:p>
        </w:tc>
        <w:tc>
          <w:tcPr>
            <w:tcW w:w="1036" w:type="dxa"/>
            <w:vMerge w:val="continue"/>
            <w:vAlign w:val="center"/>
          </w:tcPr>
          <w:p w14:paraId="06607950">
            <w:pPr>
              <w:widowControl/>
              <w:jc w:val="left"/>
              <w:rPr>
                <w:rFonts w:ascii="宋体" w:hAnsi="宋体" w:cs="宋体"/>
                <w:color w:val="000000"/>
                <w:kern w:val="0"/>
                <w:sz w:val="16"/>
                <w:szCs w:val="16"/>
              </w:rPr>
            </w:pPr>
          </w:p>
        </w:tc>
        <w:tc>
          <w:tcPr>
            <w:tcW w:w="2148" w:type="dxa"/>
            <w:shd w:val="clear" w:color="auto" w:fill="auto"/>
            <w:vAlign w:val="center"/>
          </w:tcPr>
          <w:p w14:paraId="3E1AABAF">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未建立标准管理制度，但标准齐全，并均为有效版本</w:t>
            </w:r>
          </w:p>
        </w:tc>
        <w:tc>
          <w:tcPr>
            <w:tcW w:w="456" w:type="dxa"/>
            <w:shd w:val="clear" w:color="auto" w:fill="auto"/>
            <w:vAlign w:val="center"/>
          </w:tcPr>
          <w:p w14:paraId="20392634">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w:t>
            </w:r>
          </w:p>
        </w:tc>
        <w:tc>
          <w:tcPr>
            <w:tcW w:w="1043" w:type="dxa"/>
            <w:gridSpan w:val="2"/>
            <w:vMerge w:val="continue"/>
            <w:vAlign w:val="center"/>
          </w:tcPr>
          <w:p w14:paraId="4B7B5342">
            <w:pPr>
              <w:widowControl/>
              <w:jc w:val="left"/>
              <w:rPr>
                <w:rFonts w:ascii="等线" w:hAnsi="等线" w:eastAsia="等线" w:cs="宋体"/>
                <w:color w:val="000000"/>
                <w:kern w:val="0"/>
                <w:sz w:val="16"/>
                <w:szCs w:val="16"/>
              </w:rPr>
            </w:pPr>
          </w:p>
        </w:tc>
      </w:tr>
      <w:tr w14:paraId="472E30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1274F69F">
            <w:pPr>
              <w:widowControl/>
              <w:jc w:val="left"/>
              <w:rPr>
                <w:rFonts w:ascii="等线" w:hAnsi="等线" w:eastAsia="等线" w:cs="宋体"/>
                <w:color w:val="000000"/>
                <w:kern w:val="0"/>
                <w:sz w:val="16"/>
                <w:szCs w:val="16"/>
              </w:rPr>
            </w:pPr>
          </w:p>
        </w:tc>
        <w:tc>
          <w:tcPr>
            <w:tcW w:w="830" w:type="dxa"/>
            <w:vMerge w:val="continue"/>
            <w:vAlign w:val="center"/>
          </w:tcPr>
          <w:p w14:paraId="2C25FC18">
            <w:pPr>
              <w:widowControl/>
              <w:jc w:val="left"/>
              <w:rPr>
                <w:rFonts w:ascii="宋体" w:hAnsi="宋体" w:cs="宋体"/>
                <w:color w:val="000000"/>
                <w:kern w:val="0"/>
                <w:sz w:val="16"/>
                <w:szCs w:val="16"/>
              </w:rPr>
            </w:pPr>
          </w:p>
        </w:tc>
        <w:tc>
          <w:tcPr>
            <w:tcW w:w="988" w:type="dxa"/>
            <w:vMerge w:val="continue"/>
            <w:vAlign w:val="center"/>
          </w:tcPr>
          <w:p w14:paraId="4844DF63">
            <w:pPr>
              <w:widowControl/>
              <w:jc w:val="left"/>
              <w:rPr>
                <w:rFonts w:ascii="宋体" w:hAnsi="宋体" w:cs="宋体"/>
                <w:color w:val="000000"/>
                <w:kern w:val="0"/>
                <w:sz w:val="16"/>
                <w:szCs w:val="16"/>
              </w:rPr>
            </w:pPr>
          </w:p>
        </w:tc>
        <w:tc>
          <w:tcPr>
            <w:tcW w:w="1081" w:type="dxa"/>
            <w:vMerge w:val="continue"/>
            <w:vAlign w:val="center"/>
          </w:tcPr>
          <w:p w14:paraId="153ABB6C">
            <w:pPr>
              <w:widowControl/>
              <w:jc w:val="left"/>
              <w:rPr>
                <w:rFonts w:ascii="宋体" w:hAnsi="宋体" w:cs="宋体"/>
                <w:color w:val="000000"/>
                <w:kern w:val="0"/>
                <w:sz w:val="16"/>
                <w:szCs w:val="16"/>
              </w:rPr>
            </w:pPr>
          </w:p>
        </w:tc>
        <w:tc>
          <w:tcPr>
            <w:tcW w:w="1240" w:type="dxa"/>
            <w:vMerge w:val="continue"/>
            <w:vAlign w:val="center"/>
          </w:tcPr>
          <w:p w14:paraId="0934EBA4">
            <w:pPr>
              <w:widowControl/>
              <w:jc w:val="left"/>
              <w:rPr>
                <w:rFonts w:ascii="宋体" w:hAnsi="宋体" w:cs="宋体"/>
                <w:color w:val="000000"/>
                <w:kern w:val="0"/>
                <w:sz w:val="16"/>
                <w:szCs w:val="16"/>
              </w:rPr>
            </w:pPr>
          </w:p>
        </w:tc>
        <w:tc>
          <w:tcPr>
            <w:tcW w:w="1036" w:type="dxa"/>
            <w:vMerge w:val="continue"/>
            <w:vAlign w:val="center"/>
          </w:tcPr>
          <w:p w14:paraId="4E40980B">
            <w:pPr>
              <w:widowControl/>
              <w:jc w:val="left"/>
              <w:rPr>
                <w:rFonts w:ascii="宋体" w:hAnsi="宋体" w:cs="宋体"/>
                <w:color w:val="000000"/>
                <w:kern w:val="0"/>
                <w:sz w:val="16"/>
                <w:szCs w:val="16"/>
              </w:rPr>
            </w:pPr>
          </w:p>
        </w:tc>
        <w:tc>
          <w:tcPr>
            <w:tcW w:w="2148" w:type="dxa"/>
            <w:shd w:val="clear" w:color="auto" w:fill="auto"/>
            <w:vAlign w:val="center"/>
          </w:tcPr>
          <w:p w14:paraId="1F15B0F2">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建立标准管理制度，但标准缺失或使用非有效版本</w:t>
            </w:r>
          </w:p>
        </w:tc>
        <w:tc>
          <w:tcPr>
            <w:tcW w:w="456" w:type="dxa"/>
            <w:shd w:val="clear" w:color="auto" w:fill="auto"/>
            <w:vAlign w:val="center"/>
          </w:tcPr>
          <w:p w14:paraId="1E31EA50">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w:t>
            </w:r>
          </w:p>
        </w:tc>
        <w:tc>
          <w:tcPr>
            <w:tcW w:w="1043" w:type="dxa"/>
            <w:gridSpan w:val="2"/>
            <w:vMerge w:val="continue"/>
            <w:vAlign w:val="center"/>
          </w:tcPr>
          <w:p w14:paraId="7BF6D3F4">
            <w:pPr>
              <w:widowControl/>
              <w:jc w:val="left"/>
              <w:rPr>
                <w:rFonts w:ascii="等线" w:hAnsi="等线" w:eastAsia="等线" w:cs="宋体"/>
                <w:color w:val="000000"/>
                <w:kern w:val="0"/>
                <w:sz w:val="16"/>
                <w:szCs w:val="16"/>
              </w:rPr>
            </w:pPr>
          </w:p>
        </w:tc>
      </w:tr>
      <w:tr w14:paraId="38316A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51F91876">
            <w:pPr>
              <w:widowControl/>
              <w:jc w:val="left"/>
              <w:rPr>
                <w:rFonts w:ascii="等线" w:hAnsi="等线" w:eastAsia="等线" w:cs="宋体"/>
                <w:color w:val="000000"/>
                <w:kern w:val="0"/>
                <w:sz w:val="16"/>
                <w:szCs w:val="16"/>
              </w:rPr>
            </w:pPr>
          </w:p>
        </w:tc>
        <w:tc>
          <w:tcPr>
            <w:tcW w:w="830" w:type="dxa"/>
            <w:vMerge w:val="continue"/>
            <w:vAlign w:val="center"/>
          </w:tcPr>
          <w:p w14:paraId="5C2C42BA">
            <w:pPr>
              <w:widowControl/>
              <w:jc w:val="left"/>
              <w:rPr>
                <w:rFonts w:ascii="宋体" w:hAnsi="宋体" w:cs="宋体"/>
                <w:color w:val="000000"/>
                <w:kern w:val="0"/>
                <w:sz w:val="16"/>
                <w:szCs w:val="16"/>
              </w:rPr>
            </w:pPr>
          </w:p>
        </w:tc>
        <w:tc>
          <w:tcPr>
            <w:tcW w:w="988" w:type="dxa"/>
            <w:vMerge w:val="continue"/>
            <w:vAlign w:val="center"/>
          </w:tcPr>
          <w:p w14:paraId="2908CDF0">
            <w:pPr>
              <w:widowControl/>
              <w:jc w:val="left"/>
              <w:rPr>
                <w:rFonts w:ascii="宋体" w:hAnsi="宋体" w:cs="宋体"/>
                <w:color w:val="000000"/>
                <w:kern w:val="0"/>
                <w:sz w:val="16"/>
                <w:szCs w:val="16"/>
              </w:rPr>
            </w:pPr>
          </w:p>
        </w:tc>
        <w:tc>
          <w:tcPr>
            <w:tcW w:w="1081" w:type="dxa"/>
            <w:vMerge w:val="continue"/>
            <w:vAlign w:val="center"/>
          </w:tcPr>
          <w:p w14:paraId="51D12709">
            <w:pPr>
              <w:widowControl/>
              <w:jc w:val="left"/>
              <w:rPr>
                <w:rFonts w:ascii="宋体" w:hAnsi="宋体" w:cs="宋体"/>
                <w:color w:val="000000"/>
                <w:kern w:val="0"/>
                <w:sz w:val="16"/>
                <w:szCs w:val="16"/>
              </w:rPr>
            </w:pPr>
          </w:p>
        </w:tc>
        <w:tc>
          <w:tcPr>
            <w:tcW w:w="1240" w:type="dxa"/>
            <w:vMerge w:val="continue"/>
            <w:vAlign w:val="center"/>
          </w:tcPr>
          <w:p w14:paraId="5FD35C9C">
            <w:pPr>
              <w:widowControl/>
              <w:jc w:val="left"/>
              <w:rPr>
                <w:rFonts w:ascii="宋体" w:hAnsi="宋体" w:cs="宋体"/>
                <w:color w:val="000000"/>
                <w:kern w:val="0"/>
                <w:sz w:val="16"/>
                <w:szCs w:val="16"/>
              </w:rPr>
            </w:pPr>
          </w:p>
        </w:tc>
        <w:tc>
          <w:tcPr>
            <w:tcW w:w="1036" w:type="dxa"/>
            <w:vMerge w:val="continue"/>
            <w:vAlign w:val="center"/>
          </w:tcPr>
          <w:p w14:paraId="4A94AC6E">
            <w:pPr>
              <w:widowControl/>
              <w:jc w:val="left"/>
              <w:rPr>
                <w:rFonts w:ascii="宋体" w:hAnsi="宋体" w:cs="宋体"/>
                <w:color w:val="000000"/>
                <w:kern w:val="0"/>
                <w:sz w:val="16"/>
                <w:szCs w:val="16"/>
              </w:rPr>
            </w:pPr>
          </w:p>
        </w:tc>
        <w:tc>
          <w:tcPr>
            <w:tcW w:w="2148" w:type="dxa"/>
            <w:shd w:val="clear" w:color="auto" w:fill="auto"/>
            <w:vAlign w:val="center"/>
          </w:tcPr>
          <w:p w14:paraId="44A7D70C">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未建立标准管理制度，且标准缺失或使用非有效版本</w:t>
            </w:r>
          </w:p>
        </w:tc>
        <w:tc>
          <w:tcPr>
            <w:tcW w:w="456" w:type="dxa"/>
            <w:shd w:val="clear" w:color="auto" w:fill="auto"/>
            <w:vAlign w:val="center"/>
          </w:tcPr>
          <w:p w14:paraId="75F1AE17">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53B0942D">
            <w:pPr>
              <w:widowControl/>
              <w:jc w:val="left"/>
              <w:rPr>
                <w:rFonts w:ascii="等线" w:hAnsi="等线" w:eastAsia="等线" w:cs="宋体"/>
                <w:color w:val="000000"/>
                <w:kern w:val="0"/>
                <w:sz w:val="16"/>
                <w:szCs w:val="16"/>
              </w:rPr>
            </w:pPr>
          </w:p>
        </w:tc>
      </w:tr>
      <w:tr w14:paraId="5336AF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580" w:type="dxa"/>
            <w:vMerge w:val="continue"/>
            <w:vAlign w:val="center"/>
          </w:tcPr>
          <w:p w14:paraId="5ADDD5C3">
            <w:pPr>
              <w:widowControl/>
              <w:jc w:val="left"/>
              <w:rPr>
                <w:rFonts w:ascii="等线" w:hAnsi="等线" w:eastAsia="等线" w:cs="宋体"/>
                <w:color w:val="000000"/>
                <w:kern w:val="0"/>
                <w:sz w:val="16"/>
                <w:szCs w:val="16"/>
              </w:rPr>
            </w:pPr>
          </w:p>
        </w:tc>
        <w:tc>
          <w:tcPr>
            <w:tcW w:w="830" w:type="dxa"/>
            <w:vMerge w:val="continue"/>
            <w:vAlign w:val="center"/>
          </w:tcPr>
          <w:p w14:paraId="0B5E7123">
            <w:pPr>
              <w:widowControl/>
              <w:jc w:val="left"/>
              <w:rPr>
                <w:rFonts w:ascii="宋体" w:hAnsi="宋体" w:cs="宋体"/>
                <w:color w:val="000000"/>
                <w:kern w:val="0"/>
                <w:sz w:val="16"/>
                <w:szCs w:val="16"/>
              </w:rPr>
            </w:pPr>
          </w:p>
        </w:tc>
        <w:tc>
          <w:tcPr>
            <w:tcW w:w="988" w:type="dxa"/>
            <w:vMerge w:val="continue"/>
            <w:vAlign w:val="center"/>
          </w:tcPr>
          <w:p w14:paraId="4126F048">
            <w:pPr>
              <w:widowControl/>
              <w:jc w:val="left"/>
              <w:rPr>
                <w:rFonts w:ascii="宋体" w:hAnsi="宋体" w:cs="宋体"/>
                <w:color w:val="000000"/>
                <w:kern w:val="0"/>
                <w:sz w:val="16"/>
                <w:szCs w:val="16"/>
              </w:rPr>
            </w:pPr>
          </w:p>
        </w:tc>
        <w:tc>
          <w:tcPr>
            <w:tcW w:w="1081" w:type="dxa"/>
            <w:vMerge w:val="continue"/>
            <w:vAlign w:val="center"/>
          </w:tcPr>
          <w:p w14:paraId="0DDCC636">
            <w:pPr>
              <w:widowControl/>
              <w:jc w:val="left"/>
              <w:rPr>
                <w:rFonts w:ascii="宋体" w:hAnsi="宋体" w:cs="宋体"/>
                <w:color w:val="000000"/>
                <w:kern w:val="0"/>
                <w:sz w:val="16"/>
                <w:szCs w:val="16"/>
              </w:rPr>
            </w:pPr>
          </w:p>
        </w:tc>
        <w:tc>
          <w:tcPr>
            <w:tcW w:w="1240" w:type="dxa"/>
            <w:vMerge w:val="restart"/>
            <w:shd w:val="clear" w:color="auto" w:fill="auto"/>
            <w:vAlign w:val="center"/>
          </w:tcPr>
          <w:p w14:paraId="69ACC71A">
            <w:pPr>
              <w:widowControl/>
              <w:jc w:val="center"/>
              <w:rPr>
                <w:rFonts w:ascii="宋体" w:hAnsi="宋体" w:cs="宋体"/>
                <w:color w:val="000000"/>
                <w:kern w:val="0"/>
                <w:sz w:val="16"/>
                <w:szCs w:val="16"/>
              </w:rPr>
            </w:pPr>
            <w:r>
              <w:rPr>
                <w:rFonts w:hint="eastAsia" w:ascii="宋体" w:hAnsi="宋体" w:cs="宋体"/>
                <w:color w:val="000000"/>
                <w:kern w:val="0"/>
                <w:sz w:val="16"/>
                <w:szCs w:val="16"/>
              </w:rPr>
              <w:t>检验记录管理</w:t>
            </w:r>
          </w:p>
        </w:tc>
        <w:tc>
          <w:tcPr>
            <w:tcW w:w="1036" w:type="dxa"/>
            <w:vMerge w:val="restart"/>
            <w:shd w:val="clear" w:color="auto" w:fill="auto"/>
            <w:vAlign w:val="center"/>
          </w:tcPr>
          <w:p w14:paraId="245F2735">
            <w:pPr>
              <w:widowControl/>
              <w:jc w:val="center"/>
              <w:rPr>
                <w:rFonts w:ascii="宋体" w:hAnsi="宋体" w:cs="宋体"/>
                <w:color w:val="000000"/>
                <w:kern w:val="0"/>
                <w:sz w:val="16"/>
                <w:szCs w:val="16"/>
              </w:rPr>
            </w:pPr>
            <w:r>
              <w:rPr>
                <w:rFonts w:hint="eastAsia" w:ascii="宋体" w:hAnsi="宋体" w:cs="宋体"/>
                <w:color w:val="000000"/>
                <w:kern w:val="0"/>
                <w:sz w:val="16"/>
                <w:szCs w:val="16"/>
              </w:rPr>
              <w:t>专家评分法</w:t>
            </w:r>
          </w:p>
        </w:tc>
        <w:tc>
          <w:tcPr>
            <w:tcW w:w="2148" w:type="dxa"/>
            <w:shd w:val="clear" w:color="auto" w:fill="auto"/>
            <w:vAlign w:val="center"/>
          </w:tcPr>
          <w:p w14:paraId="716FF245">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建立检验记录管理制度，检验记录清晰、完整，符合标准要求</w:t>
            </w:r>
          </w:p>
        </w:tc>
        <w:tc>
          <w:tcPr>
            <w:tcW w:w="456" w:type="dxa"/>
            <w:shd w:val="clear" w:color="000000" w:fill="D9D9D9"/>
            <w:vAlign w:val="center"/>
          </w:tcPr>
          <w:p w14:paraId="6EAE2EFC">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10</w:t>
            </w:r>
          </w:p>
        </w:tc>
        <w:tc>
          <w:tcPr>
            <w:tcW w:w="1043" w:type="dxa"/>
            <w:gridSpan w:val="2"/>
            <w:vMerge w:val="continue"/>
            <w:vAlign w:val="center"/>
          </w:tcPr>
          <w:p w14:paraId="2B4D655F">
            <w:pPr>
              <w:widowControl/>
              <w:jc w:val="left"/>
              <w:rPr>
                <w:rFonts w:ascii="等线" w:hAnsi="等线" w:eastAsia="等线" w:cs="宋体"/>
                <w:color w:val="000000"/>
                <w:kern w:val="0"/>
                <w:sz w:val="16"/>
                <w:szCs w:val="16"/>
              </w:rPr>
            </w:pPr>
          </w:p>
        </w:tc>
      </w:tr>
      <w:tr w14:paraId="13880B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580" w:type="dxa"/>
            <w:vMerge w:val="continue"/>
            <w:vAlign w:val="center"/>
          </w:tcPr>
          <w:p w14:paraId="73FE423B">
            <w:pPr>
              <w:widowControl/>
              <w:jc w:val="left"/>
              <w:rPr>
                <w:rFonts w:ascii="等线" w:hAnsi="等线" w:eastAsia="等线" w:cs="宋体"/>
                <w:color w:val="000000"/>
                <w:kern w:val="0"/>
                <w:sz w:val="16"/>
                <w:szCs w:val="16"/>
              </w:rPr>
            </w:pPr>
          </w:p>
        </w:tc>
        <w:tc>
          <w:tcPr>
            <w:tcW w:w="830" w:type="dxa"/>
            <w:vMerge w:val="continue"/>
            <w:vAlign w:val="center"/>
          </w:tcPr>
          <w:p w14:paraId="7C3FCF16">
            <w:pPr>
              <w:widowControl/>
              <w:jc w:val="left"/>
              <w:rPr>
                <w:rFonts w:ascii="宋体" w:hAnsi="宋体" w:cs="宋体"/>
                <w:color w:val="000000"/>
                <w:kern w:val="0"/>
                <w:sz w:val="16"/>
                <w:szCs w:val="16"/>
              </w:rPr>
            </w:pPr>
          </w:p>
        </w:tc>
        <w:tc>
          <w:tcPr>
            <w:tcW w:w="988" w:type="dxa"/>
            <w:vMerge w:val="continue"/>
            <w:vAlign w:val="center"/>
          </w:tcPr>
          <w:p w14:paraId="36F8705C">
            <w:pPr>
              <w:widowControl/>
              <w:jc w:val="left"/>
              <w:rPr>
                <w:rFonts w:ascii="宋体" w:hAnsi="宋体" w:cs="宋体"/>
                <w:color w:val="000000"/>
                <w:kern w:val="0"/>
                <w:sz w:val="16"/>
                <w:szCs w:val="16"/>
              </w:rPr>
            </w:pPr>
          </w:p>
        </w:tc>
        <w:tc>
          <w:tcPr>
            <w:tcW w:w="1081" w:type="dxa"/>
            <w:vMerge w:val="continue"/>
            <w:vAlign w:val="center"/>
          </w:tcPr>
          <w:p w14:paraId="73FB4C84">
            <w:pPr>
              <w:widowControl/>
              <w:jc w:val="left"/>
              <w:rPr>
                <w:rFonts w:ascii="宋体" w:hAnsi="宋体" w:cs="宋体"/>
                <w:color w:val="000000"/>
                <w:kern w:val="0"/>
                <w:sz w:val="16"/>
                <w:szCs w:val="16"/>
              </w:rPr>
            </w:pPr>
          </w:p>
        </w:tc>
        <w:tc>
          <w:tcPr>
            <w:tcW w:w="1240" w:type="dxa"/>
            <w:vMerge w:val="continue"/>
            <w:vAlign w:val="center"/>
          </w:tcPr>
          <w:p w14:paraId="0AB34EA8">
            <w:pPr>
              <w:widowControl/>
              <w:jc w:val="left"/>
              <w:rPr>
                <w:rFonts w:ascii="宋体" w:hAnsi="宋体" w:cs="宋体"/>
                <w:color w:val="000000"/>
                <w:kern w:val="0"/>
                <w:sz w:val="16"/>
                <w:szCs w:val="16"/>
              </w:rPr>
            </w:pPr>
          </w:p>
        </w:tc>
        <w:tc>
          <w:tcPr>
            <w:tcW w:w="1036" w:type="dxa"/>
            <w:vMerge w:val="continue"/>
            <w:vAlign w:val="center"/>
          </w:tcPr>
          <w:p w14:paraId="1BDD2952">
            <w:pPr>
              <w:widowControl/>
              <w:jc w:val="left"/>
              <w:rPr>
                <w:rFonts w:ascii="宋体" w:hAnsi="宋体" w:cs="宋体"/>
                <w:color w:val="000000"/>
                <w:kern w:val="0"/>
                <w:sz w:val="16"/>
                <w:szCs w:val="16"/>
              </w:rPr>
            </w:pPr>
          </w:p>
        </w:tc>
        <w:tc>
          <w:tcPr>
            <w:tcW w:w="2148" w:type="dxa"/>
            <w:shd w:val="clear" w:color="auto" w:fill="auto"/>
            <w:vAlign w:val="center"/>
          </w:tcPr>
          <w:p w14:paraId="0E8701AA">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未建立检验记录管理制度，检验记录清晰、完整，符合标准要求</w:t>
            </w:r>
          </w:p>
        </w:tc>
        <w:tc>
          <w:tcPr>
            <w:tcW w:w="456" w:type="dxa"/>
            <w:shd w:val="clear" w:color="auto" w:fill="auto"/>
            <w:vAlign w:val="center"/>
          </w:tcPr>
          <w:p w14:paraId="6C57862F">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6</w:t>
            </w:r>
          </w:p>
        </w:tc>
        <w:tc>
          <w:tcPr>
            <w:tcW w:w="1043" w:type="dxa"/>
            <w:gridSpan w:val="2"/>
            <w:vMerge w:val="continue"/>
            <w:vAlign w:val="center"/>
          </w:tcPr>
          <w:p w14:paraId="74C3B873">
            <w:pPr>
              <w:widowControl/>
              <w:jc w:val="left"/>
              <w:rPr>
                <w:rFonts w:ascii="等线" w:hAnsi="等线" w:eastAsia="等线" w:cs="宋体"/>
                <w:color w:val="000000"/>
                <w:kern w:val="0"/>
                <w:sz w:val="16"/>
                <w:szCs w:val="16"/>
              </w:rPr>
            </w:pPr>
          </w:p>
        </w:tc>
      </w:tr>
      <w:tr w14:paraId="69BC9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580" w:type="dxa"/>
            <w:vMerge w:val="continue"/>
            <w:vAlign w:val="center"/>
          </w:tcPr>
          <w:p w14:paraId="653CE3E5">
            <w:pPr>
              <w:widowControl/>
              <w:jc w:val="left"/>
              <w:rPr>
                <w:rFonts w:ascii="等线" w:hAnsi="等线" w:eastAsia="等线" w:cs="宋体"/>
                <w:color w:val="000000"/>
                <w:kern w:val="0"/>
                <w:sz w:val="16"/>
                <w:szCs w:val="16"/>
              </w:rPr>
            </w:pPr>
          </w:p>
        </w:tc>
        <w:tc>
          <w:tcPr>
            <w:tcW w:w="830" w:type="dxa"/>
            <w:vMerge w:val="continue"/>
            <w:vAlign w:val="center"/>
          </w:tcPr>
          <w:p w14:paraId="6BFFBFA0">
            <w:pPr>
              <w:widowControl/>
              <w:jc w:val="left"/>
              <w:rPr>
                <w:rFonts w:ascii="宋体" w:hAnsi="宋体" w:cs="宋体"/>
                <w:color w:val="000000"/>
                <w:kern w:val="0"/>
                <w:sz w:val="16"/>
                <w:szCs w:val="16"/>
              </w:rPr>
            </w:pPr>
          </w:p>
        </w:tc>
        <w:tc>
          <w:tcPr>
            <w:tcW w:w="988" w:type="dxa"/>
            <w:vMerge w:val="continue"/>
            <w:vAlign w:val="center"/>
          </w:tcPr>
          <w:p w14:paraId="4D674B7E">
            <w:pPr>
              <w:widowControl/>
              <w:jc w:val="left"/>
              <w:rPr>
                <w:rFonts w:ascii="宋体" w:hAnsi="宋体" w:cs="宋体"/>
                <w:color w:val="000000"/>
                <w:kern w:val="0"/>
                <w:sz w:val="16"/>
                <w:szCs w:val="16"/>
              </w:rPr>
            </w:pPr>
          </w:p>
        </w:tc>
        <w:tc>
          <w:tcPr>
            <w:tcW w:w="1081" w:type="dxa"/>
            <w:vMerge w:val="continue"/>
            <w:vAlign w:val="center"/>
          </w:tcPr>
          <w:p w14:paraId="0EC8100C">
            <w:pPr>
              <w:widowControl/>
              <w:jc w:val="left"/>
              <w:rPr>
                <w:rFonts w:ascii="宋体" w:hAnsi="宋体" w:cs="宋体"/>
                <w:color w:val="000000"/>
                <w:kern w:val="0"/>
                <w:sz w:val="16"/>
                <w:szCs w:val="16"/>
              </w:rPr>
            </w:pPr>
          </w:p>
        </w:tc>
        <w:tc>
          <w:tcPr>
            <w:tcW w:w="1240" w:type="dxa"/>
            <w:vMerge w:val="continue"/>
            <w:vAlign w:val="center"/>
          </w:tcPr>
          <w:p w14:paraId="2C1C45B9">
            <w:pPr>
              <w:widowControl/>
              <w:jc w:val="left"/>
              <w:rPr>
                <w:rFonts w:ascii="宋体" w:hAnsi="宋体" w:cs="宋体"/>
                <w:color w:val="000000"/>
                <w:kern w:val="0"/>
                <w:sz w:val="16"/>
                <w:szCs w:val="16"/>
              </w:rPr>
            </w:pPr>
          </w:p>
        </w:tc>
        <w:tc>
          <w:tcPr>
            <w:tcW w:w="1036" w:type="dxa"/>
            <w:vMerge w:val="continue"/>
            <w:vAlign w:val="center"/>
          </w:tcPr>
          <w:p w14:paraId="53AB87DF">
            <w:pPr>
              <w:widowControl/>
              <w:jc w:val="left"/>
              <w:rPr>
                <w:rFonts w:ascii="宋体" w:hAnsi="宋体" w:cs="宋体"/>
                <w:color w:val="000000"/>
                <w:kern w:val="0"/>
                <w:sz w:val="16"/>
                <w:szCs w:val="16"/>
              </w:rPr>
            </w:pPr>
          </w:p>
        </w:tc>
        <w:tc>
          <w:tcPr>
            <w:tcW w:w="2148" w:type="dxa"/>
            <w:shd w:val="clear" w:color="auto" w:fill="auto"/>
            <w:vAlign w:val="center"/>
          </w:tcPr>
          <w:p w14:paraId="768862A8">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建立检验记录管理制度，符合标准要求，但检验记录缺失</w:t>
            </w:r>
          </w:p>
        </w:tc>
        <w:tc>
          <w:tcPr>
            <w:tcW w:w="456" w:type="dxa"/>
            <w:shd w:val="clear" w:color="auto" w:fill="auto"/>
            <w:vAlign w:val="center"/>
          </w:tcPr>
          <w:p w14:paraId="693DAF67">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3</w:t>
            </w:r>
          </w:p>
        </w:tc>
        <w:tc>
          <w:tcPr>
            <w:tcW w:w="1043" w:type="dxa"/>
            <w:gridSpan w:val="2"/>
            <w:vMerge w:val="continue"/>
            <w:vAlign w:val="center"/>
          </w:tcPr>
          <w:p w14:paraId="7E7F03AA">
            <w:pPr>
              <w:widowControl/>
              <w:jc w:val="left"/>
              <w:rPr>
                <w:rFonts w:ascii="等线" w:hAnsi="等线" w:eastAsia="等线" w:cs="宋体"/>
                <w:color w:val="000000"/>
                <w:kern w:val="0"/>
                <w:sz w:val="16"/>
                <w:szCs w:val="16"/>
              </w:rPr>
            </w:pPr>
          </w:p>
        </w:tc>
      </w:tr>
      <w:tr w14:paraId="058A03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80" w:type="dxa"/>
            <w:vMerge w:val="continue"/>
            <w:vAlign w:val="center"/>
          </w:tcPr>
          <w:p w14:paraId="03F7C930">
            <w:pPr>
              <w:widowControl/>
              <w:jc w:val="left"/>
              <w:rPr>
                <w:rFonts w:ascii="等线" w:hAnsi="等线" w:eastAsia="等线" w:cs="宋体"/>
                <w:color w:val="000000"/>
                <w:kern w:val="0"/>
                <w:sz w:val="16"/>
                <w:szCs w:val="16"/>
              </w:rPr>
            </w:pPr>
          </w:p>
        </w:tc>
        <w:tc>
          <w:tcPr>
            <w:tcW w:w="830" w:type="dxa"/>
            <w:vMerge w:val="continue"/>
            <w:vAlign w:val="center"/>
          </w:tcPr>
          <w:p w14:paraId="53EDE38B">
            <w:pPr>
              <w:widowControl/>
              <w:jc w:val="left"/>
              <w:rPr>
                <w:rFonts w:ascii="宋体" w:hAnsi="宋体" w:cs="宋体"/>
                <w:color w:val="000000"/>
                <w:kern w:val="0"/>
                <w:sz w:val="16"/>
                <w:szCs w:val="16"/>
              </w:rPr>
            </w:pPr>
          </w:p>
        </w:tc>
        <w:tc>
          <w:tcPr>
            <w:tcW w:w="988" w:type="dxa"/>
            <w:vMerge w:val="continue"/>
            <w:vAlign w:val="center"/>
          </w:tcPr>
          <w:p w14:paraId="683F32AC">
            <w:pPr>
              <w:widowControl/>
              <w:jc w:val="left"/>
              <w:rPr>
                <w:rFonts w:ascii="宋体" w:hAnsi="宋体" w:cs="宋体"/>
                <w:color w:val="000000"/>
                <w:kern w:val="0"/>
                <w:sz w:val="16"/>
                <w:szCs w:val="16"/>
              </w:rPr>
            </w:pPr>
          </w:p>
        </w:tc>
        <w:tc>
          <w:tcPr>
            <w:tcW w:w="1081" w:type="dxa"/>
            <w:vMerge w:val="continue"/>
            <w:vAlign w:val="center"/>
          </w:tcPr>
          <w:p w14:paraId="5B87CEE5">
            <w:pPr>
              <w:widowControl/>
              <w:jc w:val="left"/>
              <w:rPr>
                <w:rFonts w:ascii="宋体" w:hAnsi="宋体" w:cs="宋体"/>
                <w:color w:val="000000"/>
                <w:kern w:val="0"/>
                <w:sz w:val="16"/>
                <w:szCs w:val="16"/>
              </w:rPr>
            </w:pPr>
          </w:p>
        </w:tc>
        <w:tc>
          <w:tcPr>
            <w:tcW w:w="1240" w:type="dxa"/>
            <w:vMerge w:val="continue"/>
            <w:vAlign w:val="center"/>
          </w:tcPr>
          <w:p w14:paraId="0418FBF0">
            <w:pPr>
              <w:widowControl/>
              <w:jc w:val="left"/>
              <w:rPr>
                <w:rFonts w:ascii="宋体" w:hAnsi="宋体" w:cs="宋体"/>
                <w:color w:val="000000"/>
                <w:kern w:val="0"/>
                <w:sz w:val="16"/>
                <w:szCs w:val="16"/>
              </w:rPr>
            </w:pPr>
          </w:p>
        </w:tc>
        <w:tc>
          <w:tcPr>
            <w:tcW w:w="1036" w:type="dxa"/>
            <w:vMerge w:val="continue"/>
            <w:vAlign w:val="center"/>
          </w:tcPr>
          <w:p w14:paraId="4D85EA5F">
            <w:pPr>
              <w:widowControl/>
              <w:jc w:val="left"/>
              <w:rPr>
                <w:rFonts w:ascii="宋体" w:hAnsi="宋体" w:cs="宋体"/>
                <w:color w:val="000000"/>
                <w:kern w:val="0"/>
                <w:sz w:val="16"/>
                <w:szCs w:val="16"/>
              </w:rPr>
            </w:pPr>
          </w:p>
        </w:tc>
        <w:tc>
          <w:tcPr>
            <w:tcW w:w="2148" w:type="dxa"/>
            <w:shd w:val="clear" w:color="auto" w:fill="auto"/>
            <w:vAlign w:val="center"/>
          </w:tcPr>
          <w:p w14:paraId="257D2398">
            <w:pPr>
              <w:widowControl/>
              <w:spacing w:line="300" w:lineRule="exact"/>
              <w:jc w:val="left"/>
              <w:rPr>
                <w:rFonts w:ascii="宋体" w:hAnsi="宋体" w:cs="宋体"/>
                <w:color w:val="000000"/>
                <w:kern w:val="0"/>
                <w:sz w:val="16"/>
                <w:szCs w:val="16"/>
              </w:rPr>
            </w:pPr>
            <w:r>
              <w:rPr>
                <w:rFonts w:hint="eastAsia" w:ascii="宋体" w:hAnsi="宋体" w:cs="宋体"/>
                <w:color w:val="000000"/>
                <w:kern w:val="0"/>
                <w:sz w:val="16"/>
                <w:szCs w:val="16"/>
              </w:rPr>
              <w:t>检验记录不符合标准要求</w:t>
            </w:r>
          </w:p>
        </w:tc>
        <w:tc>
          <w:tcPr>
            <w:tcW w:w="456" w:type="dxa"/>
            <w:shd w:val="clear" w:color="auto" w:fill="auto"/>
            <w:vAlign w:val="center"/>
          </w:tcPr>
          <w:p w14:paraId="4CCB32F8">
            <w:pPr>
              <w:widowControl/>
              <w:jc w:val="center"/>
              <w:rPr>
                <w:rFonts w:ascii="黑体" w:hAnsi="黑体" w:eastAsia="黑体" w:cs="宋体"/>
                <w:color w:val="000000"/>
                <w:kern w:val="0"/>
                <w:sz w:val="16"/>
                <w:szCs w:val="16"/>
              </w:rPr>
            </w:pPr>
            <w:r>
              <w:rPr>
                <w:rFonts w:hint="eastAsia" w:ascii="黑体" w:hAnsi="黑体" w:eastAsia="黑体" w:cs="宋体"/>
                <w:color w:val="000000"/>
                <w:kern w:val="0"/>
                <w:sz w:val="16"/>
                <w:szCs w:val="16"/>
              </w:rPr>
              <w:t>0</w:t>
            </w:r>
          </w:p>
        </w:tc>
        <w:tc>
          <w:tcPr>
            <w:tcW w:w="1043" w:type="dxa"/>
            <w:gridSpan w:val="2"/>
            <w:vMerge w:val="continue"/>
            <w:vAlign w:val="center"/>
          </w:tcPr>
          <w:p w14:paraId="2A6F2924">
            <w:pPr>
              <w:widowControl/>
              <w:jc w:val="left"/>
              <w:rPr>
                <w:rFonts w:ascii="等线" w:hAnsi="等线" w:eastAsia="等线" w:cs="宋体"/>
                <w:color w:val="000000"/>
                <w:kern w:val="0"/>
                <w:sz w:val="16"/>
                <w:szCs w:val="16"/>
              </w:rPr>
            </w:pPr>
          </w:p>
        </w:tc>
      </w:tr>
    </w:tbl>
    <w:p w14:paraId="05B4A38D">
      <w:pPr>
        <w:pStyle w:val="25"/>
      </w:pPr>
    </w:p>
    <w:p w14:paraId="49C094BB">
      <w:pPr>
        <w:pStyle w:val="25"/>
        <w:spacing w:before="156" w:beforeLines="50" w:after="156" w:afterLines="50"/>
        <w:ind w:firstLine="0" w:firstLineChars="0"/>
        <w:outlineLvl w:val="9"/>
        <w:rPr>
          <w:rFonts w:ascii="黑体" w:hAnsi="黑体" w:eastAsia="黑体"/>
        </w:rPr>
      </w:pPr>
      <w:r>
        <w:rPr>
          <w:rFonts w:hint="eastAsia" w:ascii="黑体" w:hAnsi="黑体" w:eastAsia="黑体"/>
        </w:rPr>
        <w:t>4</w:t>
      </w:r>
      <w:r>
        <w:rPr>
          <w:rFonts w:ascii="黑体" w:hAnsi="黑体" w:eastAsia="黑体"/>
        </w:rPr>
        <w:t>.2.3</w:t>
      </w:r>
      <w:r>
        <w:rPr>
          <w:rFonts w:hint="eastAsia" w:ascii="黑体" w:hAnsi="黑体" w:eastAsia="黑体"/>
        </w:rPr>
        <w:t>数据处理</w:t>
      </w:r>
    </w:p>
    <w:p w14:paraId="06BDA747">
      <w:pPr>
        <w:pStyle w:val="25"/>
      </w:pPr>
      <w:r>
        <w:rPr>
          <w:rFonts w:hint="eastAsia"/>
        </w:rPr>
        <w:t>采集后数据按照如下方法进行处理：</w:t>
      </w:r>
    </w:p>
    <w:p w14:paraId="68119E7C">
      <w:pPr>
        <w:pStyle w:val="25"/>
      </w:pPr>
      <w:r>
        <w:rPr>
          <w:rFonts w:hint="eastAsia"/>
        </w:rPr>
        <w:t>通过对各维度数据的采集，采用标准比对和专家评分等方法对数据评价指标进行量化评分（</w:t>
      </w:r>
      <w:r>
        <w:t>d</w:t>
      </w:r>
      <w:r>
        <w:rPr>
          <w:rFonts w:hint="eastAsia"/>
        </w:rPr>
        <w:t>），然后对d求和，可得如4.2.1表1.所示每个维度的数据分值（Xi），以百分制表示，每个维度满分100分。计算公式如下：</w:t>
      </w:r>
    </w:p>
    <w:p w14:paraId="159A2401">
      <w:pPr>
        <w:pStyle w:val="25"/>
        <w:ind w:firstLine="0" w:firstLineChars="0"/>
        <w:jc w:val="center"/>
      </w:pPr>
      <w:r>
        <w:drawing>
          <wp:inline distT="0" distB="0" distL="0" distR="0">
            <wp:extent cx="781050" cy="565785"/>
            <wp:effectExtent l="0" t="0" r="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786952" cy="570540"/>
                    </a:xfrm>
                    <a:prstGeom prst="rect">
                      <a:avLst/>
                    </a:prstGeom>
                  </pic:spPr>
                </pic:pic>
              </a:graphicData>
            </a:graphic>
          </wp:inline>
        </w:drawing>
      </w:r>
    </w:p>
    <w:p w14:paraId="06F9F8B5">
      <w:pPr>
        <w:pStyle w:val="25"/>
      </w:pPr>
      <w:r>
        <w:rPr>
          <w:rFonts w:hint="eastAsia"/>
        </w:rPr>
        <w:t>1）标准比对法适用于对检验、监控和报表统计等标准指标明确的定量数据，该方法以标准指标为基准，各数据与其进行比对获得量化分值。</w:t>
      </w:r>
    </w:p>
    <w:p w14:paraId="3EC6DC52">
      <w:pPr>
        <w:pStyle w:val="25"/>
      </w:pPr>
      <w:r>
        <w:rPr>
          <w:rFonts w:hint="eastAsia"/>
        </w:rPr>
        <w:t>2）专家评分法适用于对主观评定的定性数据，该方法通过专家评分直接获得量化数据。</w:t>
      </w:r>
    </w:p>
    <w:p w14:paraId="7FFDB361">
      <w:pPr>
        <w:pStyle w:val="25"/>
      </w:pPr>
      <w:r>
        <w:rPr>
          <w:rFonts w:hint="eastAsia"/>
        </w:rPr>
        <w:t>3）量化分值d求和，可得数据分值（Xi）。</w:t>
      </w:r>
    </w:p>
    <w:p w14:paraId="0A6DA1ED">
      <w:pPr>
        <w:pStyle w:val="25"/>
        <w:spacing w:before="93" w:beforeLines="30" w:line="240" w:lineRule="exact"/>
      </w:pPr>
      <w:r>
        <w:rPr>
          <w:rFonts w:hint="eastAsia"/>
        </w:rPr>
        <w:t>数据分值应用于质量评价。</w:t>
      </w:r>
    </w:p>
    <w:p w14:paraId="2AE9B6AC">
      <w:pPr>
        <w:pStyle w:val="45"/>
        <w:spacing w:before="312" w:after="312"/>
        <w:ind w:left="0"/>
        <w:outlineLvl w:val="0"/>
      </w:pPr>
      <w:bookmarkStart w:id="51" w:name="_Toc102557402"/>
      <w:r>
        <w:rPr>
          <w:rFonts w:hint="eastAsia"/>
        </w:rPr>
        <w:t>质量评价</w:t>
      </w:r>
      <w:bookmarkEnd w:id="51"/>
    </w:p>
    <w:p w14:paraId="6311B974">
      <w:pPr>
        <w:pStyle w:val="42"/>
        <w:spacing w:before="156" w:after="156"/>
        <w:ind w:left="0"/>
        <w:outlineLvl w:val="9"/>
      </w:pPr>
      <w:r>
        <w:rPr>
          <w:rFonts w:hint="eastAsia"/>
        </w:rPr>
        <w:t>评价维度</w:t>
      </w:r>
    </w:p>
    <w:p w14:paraId="3A04703B">
      <w:pPr>
        <w:pStyle w:val="64"/>
        <w:numPr>
          <w:ilvl w:val="0"/>
          <w:numId w:val="0"/>
        </w:numPr>
        <w:ind w:left="210" w:leftChars="100" w:firstLine="210" w:firstLineChars="100"/>
        <w:rPr>
          <w:sz w:val="21"/>
          <w:szCs w:val="20"/>
        </w:rPr>
      </w:pPr>
      <w:bookmarkStart w:id="52" w:name="_Hlk88138196"/>
      <w:r>
        <w:rPr>
          <w:rFonts w:hint="eastAsia"/>
          <w:sz w:val="21"/>
          <w:szCs w:val="20"/>
        </w:rPr>
        <w:t>配网设备质量评价</w:t>
      </w:r>
      <w:bookmarkEnd w:id="52"/>
      <w:r>
        <w:rPr>
          <w:rFonts w:hint="eastAsia"/>
          <w:sz w:val="21"/>
          <w:szCs w:val="20"/>
        </w:rPr>
        <w:t>从生产制造、设备抽检、设备运行、基建安装和供应商资质能力评价五个维度</w:t>
      </w:r>
    </w:p>
    <w:p w14:paraId="57526026">
      <w:pPr>
        <w:pStyle w:val="64"/>
        <w:numPr>
          <w:ilvl w:val="0"/>
          <w:numId w:val="0"/>
        </w:numPr>
        <w:ind w:left="726" w:leftChars="1" w:hanging="724" w:hangingChars="345"/>
      </w:pPr>
      <w:r>
        <w:rPr>
          <w:rFonts w:hint="eastAsia"/>
          <w:sz w:val="21"/>
          <w:szCs w:val="20"/>
        </w:rPr>
        <w:t>进行。</w:t>
      </w:r>
    </w:p>
    <w:p w14:paraId="0E3F6E0B">
      <w:pPr>
        <w:pStyle w:val="42"/>
        <w:spacing w:before="156" w:after="156"/>
        <w:ind w:left="0"/>
        <w:outlineLvl w:val="9"/>
      </w:pPr>
      <w:bookmarkStart w:id="53" w:name="_Hlk88257301"/>
      <w:r>
        <w:rPr>
          <w:rFonts w:hint="eastAsia"/>
        </w:rPr>
        <w:t>权重确定</w:t>
      </w:r>
    </w:p>
    <w:bookmarkEnd w:id="53"/>
    <w:p w14:paraId="326D667A">
      <w:pPr>
        <w:pStyle w:val="25"/>
      </w:pPr>
      <w:bookmarkStart w:id="54" w:name="_Hlk89205175"/>
      <w:r>
        <w:rPr>
          <w:rFonts w:hint="eastAsia"/>
        </w:rPr>
        <w:t>采用层次分析法（AHP）</w:t>
      </w:r>
      <w:bookmarkEnd w:id="54"/>
      <w:r>
        <w:rPr>
          <w:rFonts w:hint="eastAsia"/>
        </w:rPr>
        <w:t>，根据各维度数据的重要性确定各维度权重。</w:t>
      </w:r>
    </w:p>
    <w:p w14:paraId="2A011EED">
      <w:pPr>
        <w:pStyle w:val="25"/>
      </w:pPr>
      <w:r>
        <w:rPr>
          <w:rFonts w:hint="eastAsia"/>
        </w:rPr>
        <w:t>为实现质量评价结果定性向定量转化需要有定量</w:t>
      </w:r>
      <w:r>
        <w:rPr>
          <w:rFonts w:hint="eastAsia" w:ascii="宋体"/>
          <w:kern w:val="0"/>
          <w:szCs w:val="21"/>
        </w:rPr>
        <w:t>的</w:t>
      </w:r>
      <w:r>
        <w:rPr>
          <w:rFonts w:hint="eastAsia"/>
          <w:color w:val="auto"/>
        </w:rPr>
        <w:t>序级</w:t>
      </w:r>
      <w:r>
        <w:rPr>
          <w:rFonts w:hint="eastAsia" w:ascii="宋体"/>
          <w:kern w:val="0"/>
          <w:szCs w:val="21"/>
        </w:rPr>
        <w:t>标度</w:t>
      </w:r>
      <w:r>
        <w:rPr>
          <w:rFonts w:hint="eastAsia"/>
          <w:color w:val="auto"/>
        </w:rPr>
        <w:t>，即评价要素间重要性比较的标示</w:t>
      </w:r>
      <w:r>
        <w:rPr>
          <w:rFonts w:hint="eastAsia"/>
        </w:rPr>
        <w:t>，本规范采用1-9标度法,即使用数字1-9以及其倒数作为标度:</w:t>
      </w:r>
    </w:p>
    <w:p w14:paraId="080C4451">
      <w:pPr>
        <w:pStyle w:val="25"/>
        <w:ind w:firstLine="420" w:firstLineChars="200"/>
      </w:pPr>
      <w:r>
        <w:rPr>
          <w:rFonts w:hint="eastAsia"/>
        </w:rPr>
        <w:t>数字1：表示两个元素相比，具有同样的重要性；</w:t>
      </w:r>
    </w:p>
    <w:p w14:paraId="59A57F36">
      <w:pPr>
        <w:pStyle w:val="25"/>
      </w:pPr>
      <w:r>
        <w:rPr>
          <w:rFonts w:hint="eastAsia"/>
        </w:rPr>
        <w:t>数字3：表示两个元素相比，前者比后者稍重要；</w:t>
      </w:r>
    </w:p>
    <w:p w14:paraId="3D0E25C4">
      <w:pPr>
        <w:pStyle w:val="25"/>
      </w:pPr>
      <w:r>
        <w:rPr>
          <w:rFonts w:hint="eastAsia"/>
        </w:rPr>
        <w:t>数字5：表示两个元素相比，前者比后者明显重要；</w:t>
      </w:r>
    </w:p>
    <w:p w14:paraId="62CBA04D">
      <w:pPr>
        <w:pStyle w:val="25"/>
        <w:ind w:firstLine="417" w:firstLineChars="199"/>
      </w:pPr>
      <w:r>
        <w:rPr>
          <w:rFonts w:hint="eastAsia"/>
        </w:rPr>
        <w:t>数字7：表示两个元素相比，前者比后者极其重要；</w:t>
      </w:r>
    </w:p>
    <w:p w14:paraId="38D18A7B">
      <w:pPr>
        <w:pStyle w:val="25"/>
        <w:ind w:firstLine="411" w:firstLineChars="196"/>
      </w:pPr>
      <w:r>
        <w:rPr>
          <w:rFonts w:hint="eastAsia"/>
        </w:rPr>
        <w:t>数字9：表示两个元素相比，前者比后者强烈重要；</w:t>
      </w:r>
    </w:p>
    <w:p w14:paraId="59BA68B9">
      <w:pPr>
        <w:pStyle w:val="25"/>
        <w:ind w:firstLine="420" w:firstLineChars="200"/>
      </w:pPr>
      <w:r>
        <w:rPr>
          <w:rFonts w:hint="eastAsia"/>
        </w:rPr>
        <w:t>倒数： 若元素i和元素j的重要性之比为a</w:t>
      </w:r>
      <w:r>
        <w:rPr>
          <w:rFonts w:hint="eastAsia"/>
          <w:vertAlign w:val="subscript"/>
        </w:rPr>
        <w:t>ij</w:t>
      </w:r>
      <w:r>
        <w:rPr>
          <w:rFonts w:hint="eastAsia"/>
        </w:rPr>
        <w:t>，那么元素j与元素i的重要性之比为a</w:t>
      </w:r>
      <w:r>
        <w:rPr>
          <w:rFonts w:hint="eastAsia"/>
          <w:vertAlign w:val="subscript"/>
        </w:rPr>
        <w:t>ji</w:t>
      </w:r>
      <w:r>
        <w:rPr>
          <w:rFonts w:hint="eastAsia"/>
        </w:rPr>
        <w:t>=1/a</w:t>
      </w:r>
      <w:r>
        <w:rPr>
          <w:rFonts w:hint="eastAsia"/>
          <w:vertAlign w:val="subscript"/>
        </w:rPr>
        <w:t>ij</w:t>
      </w:r>
      <w:r>
        <w:rPr>
          <w:rFonts w:hint="eastAsia"/>
        </w:rPr>
        <w:t>。</w:t>
      </w:r>
    </w:p>
    <w:p w14:paraId="5F506B74">
      <w:pPr>
        <w:pStyle w:val="25"/>
        <w:spacing w:after="156" w:afterLines="50"/>
      </w:pPr>
      <w:r>
        <w:rPr>
          <w:rFonts w:hint="eastAsia"/>
        </w:rPr>
        <w:t>根据以上规则，D</w:t>
      </w:r>
      <w:r>
        <w:rPr>
          <w:vertAlign w:val="subscript"/>
        </w:rPr>
        <w:t>1</w:t>
      </w:r>
      <w:r>
        <w:rPr>
          <w:rFonts w:hint="eastAsia"/>
        </w:rPr>
        <w:t>、</w:t>
      </w:r>
      <w:r>
        <w:t>D</w:t>
      </w:r>
      <w:r>
        <w:rPr>
          <w:vertAlign w:val="subscript"/>
        </w:rPr>
        <w:t>2</w:t>
      </w:r>
      <w:r>
        <w:rPr>
          <w:rFonts w:hint="eastAsia"/>
        </w:rPr>
        <w:t>、</w:t>
      </w:r>
      <w:r>
        <w:t>D</w:t>
      </w:r>
      <w:r>
        <w:rPr>
          <w:vertAlign w:val="subscript"/>
        </w:rPr>
        <w:t>3</w:t>
      </w:r>
      <w:r>
        <w:rPr>
          <w:rFonts w:hint="eastAsia"/>
        </w:rPr>
        <w:t>、</w:t>
      </w:r>
      <w:r>
        <w:t>D</w:t>
      </w:r>
      <w:r>
        <w:rPr>
          <w:vertAlign w:val="subscript"/>
        </w:rPr>
        <w:t>4</w:t>
      </w:r>
      <w:r>
        <w:rPr>
          <w:rFonts w:hint="eastAsia"/>
        </w:rPr>
        <w:t>和</w:t>
      </w:r>
      <w:r>
        <w:t>D</w:t>
      </w:r>
      <w:r>
        <w:rPr>
          <w:vertAlign w:val="subscript"/>
        </w:rPr>
        <w:t>5</w:t>
      </w:r>
      <w:r>
        <w:rPr>
          <w:rFonts w:hint="eastAsia"/>
        </w:rPr>
        <w:t>通过重要性对比，可构建一个如图1</w:t>
      </w:r>
      <w:r>
        <w:t>.</w:t>
      </w:r>
      <w:r>
        <w:rPr>
          <w:rFonts w:hint="eastAsia"/>
        </w:rPr>
        <w:t>所示的五维度数据判断对比矩阵：</w:t>
      </w:r>
    </w:p>
    <w:p w14:paraId="2B3730B6">
      <w:pPr>
        <w:pStyle w:val="25"/>
        <w:ind w:firstLine="0" w:firstLineChars="0"/>
        <w:jc w:val="center"/>
      </w:pPr>
      <w:bookmarkStart w:id="55" w:name="_Hlk89801121"/>
      <w:r>
        <w:drawing>
          <wp:inline distT="0" distB="0" distL="0" distR="0">
            <wp:extent cx="1931670" cy="1821180"/>
            <wp:effectExtent l="0" t="0" r="0" b="762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969834" cy="1857316"/>
                    </a:xfrm>
                    <a:prstGeom prst="rect">
                      <a:avLst/>
                    </a:prstGeom>
                    <a:noFill/>
                    <a:ln>
                      <a:noFill/>
                    </a:ln>
                  </pic:spPr>
                </pic:pic>
              </a:graphicData>
            </a:graphic>
          </wp:inline>
        </w:drawing>
      </w:r>
    </w:p>
    <w:p w14:paraId="7F547B59">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图</w:t>
      </w:r>
      <w:r>
        <w:rPr>
          <w:rFonts w:ascii="黑体" w:hAnsi="黑体" w:eastAsia="黑体"/>
          <w:sz w:val="21"/>
          <w:szCs w:val="21"/>
        </w:rPr>
        <w:t>1.</w:t>
      </w:r>
      <w:r>
        <w:rPr>
          <w:rFonts w:hint="eastAsia" w:ascii="黑体" w:hAnsi="黑体" w:eastAsia="黑体"/>
          <w:sz w:val="21"/>
          <w:szCs w:val="21"/>
        </w:rPr>
        <w:t>质量评价各维度数据判断对比矩阵</w:t>
      </w:r>
    </w:p>
    <w:p w14:paraId="670CFF3D">
      <w:pPr>
        <w:pStyle w:val="25"/>
      </w:pPr>
      <w:r>
        <w:rPr>
          <w:rFonts w:hint="eastAsia"/>
          <w:sz w:val="20"/>
        </w:rPr>
        <w:t>按照附录</w:t>
      </w:r>
      <w:r>
        <w:t>A</w:t>
      </w:r>
      <w:r>
        <w:rPr>
          <w:sz w:val="20"/>
        </w:rPr>
        <w:t>.</w:t>
      </w:r>
      <w:r>
        <w:rPr>
          <w:rFonts w:hint="eastAsia"/>
          <w:sz w:val="20"/>
        </w:rPr>
        <w:t>权重系数计算方法，</w:t>
      </w:r>
      <w:bookmarkEnd w:id="55"/>
      <w:r>
        <w:rPr>
          <w:rFonts w:hint="eastAsia"/>
        </w:rPr>
        <w:t>可得每个维度指标权重系数如下：</w:t>
      </w:r>
    </w:p>
    <w:p w14:paraId="78A8B560">
      <w:pPr>
        <w:pStyle w:val="25"/>
        <w:rPr>
          <w:sz w:val="20"/>
          <w:szCs w:val="20"/>
        </w:rPr>
      </w:pPr>
      <w:bookmarkStart w:id="56" w:name="_Hlk88262655"/>
      <w:r>
        <w:rPr>
          <w:rFonts w:hint="eastAsia"/>
          <w:sz w:val="20"/>
        </w:rPr>
        <w:t>生产制造</w:t>
      </w:r>
      <w:r>
        <w:rPr>
          <w:sz w:val="20"/>
        </w:rPr>
        <w:t>W1</w:t>
      </w:r>
      <w:bookmarkEnd w:id="56"/>
      <w:r>
        <w:rPr>
          <w:rFonts w:hint="eastAsia"/>
          <w:sz w:val="20"/>
        </w:rPr>
        <w:t>：</w:t>
      </w:r>
      <w:r>
        <w:rPr>
          <w:sz w:val="20"/>
        </w:rPr>
        <w:t>49.70%</w:t>
      </w:r>
      <w:r>
        <w:rPr>
          <w:rFonts w:hint="eastAsia"/>
          <w:sz w:val="20"/>
        </w:rPr>
        <w:t>；</w:t>
      </w:r>
    </w:p>
    <w:p w14:paraId="7B432B7E">
      <w:pPr>
        <w:pStyle w:val="25"/>
        <w:rPr>
          <w:sz w:val="20"/>
          <w:szCs w:val="20"/>
        </w:rPr>
      </w:pPr>
      <w:r>
        <w:rPr>
          <w:rFonts w:hint="eastAsia"/>
          <w:sz w:val="20"/>
        </w:rPr>
        <w:t>设备抽检</w:t>
      </w:r>
      <w:r>
        <w:rPr>
          <w:sz w:val="20"/>
        </w:rPr>
        <w:t>W2</w:t>
      </w:r>
      <w:r>
        <w:rPr>
          <w:rFonts w:hint="eastAsia"/>
          <w:sz w:val="20"/>
        </w:rPr>
        <w:t>：</w:t>
      </w:r>
      <w:r>
        <w:rPr>
          <w:sz w:val="20"/>
        </w:rPr>
        <w:t>20.23%</w:t>
      </w:r>
      <w:r>
        <w:rPr>
          <w:rFonts w:hint="eastAsia"/>
          <w:sz w:val="20"/>
        </w:rPr>
        <w:t>；</w:t>
      </w:r>
    </w:p>
    <w:p w14:paraId="5AE87848">
      <w:pPr>
        <w:pStyle w:val="25"/>
        <w:rPr>
          <w:sz w:val="20"/>
          <w:szCs w:val="20"/>
        </w:rPr>
      </w:pPr>
      <w:r>
        <w:rPr>
          <w:rFonts w:hint="eastAsia"/>
          <w:sz w:val="20"/>
        </w:rPr>
        <w:t>设备运行</w:t>
      </w:r>
      <w:r>
        <w:rPr>
          <w:sz w:val="20"/>
        </w:rPr>
        <w:t>W3</w:t>
      </w:r>
      <w:r>
        <w:rPr>
          <w:rFonts w:hint="eastAsia"/>
          <w:sz w:val="20"/>
        </w:rPr>
        <w:t>：</w:t>
      </w:r>
      <w:r>
        <w:rPr>
          <w:sz w:val="20"/>
        </w:rPr>
        <w:t>15.89%</w:t>
      </w:r>
      <w:r>
        <w:rPr>
          <w:rFonts w:hint="eastAsia"/>
          <w:sz w:val="20"/>
        </w:rPr>
        <w:t>；</w:t>
      </w:r>
    </w:p>
    <w:p w14:paraId="235B5792">
      <w:pPr>
        <w:pStyle w:val="25"/>
        <w:rPr>
          <w:sz w:val="20"/>
          <w:szCs w:val="20"/>
        </w:rPr>
      </w:pPr>
      <w:r>
        <w:rPr>
          <w:rFonts w:hint="eastAsia"/>
          <w:sz w:val="20"/>
        </w:rPr>
        <w:t>基建安装</w:t>
      </w:r>
      <w:r>
        <w:rPr>
          <w:sz w:val="20"/>
        </w:rPr>
        <w:t>W4</w:t>
      </w:r>
      <w:r>
        <w:rPr>
          <w:rFonts w:hint="eastAsia"/>
          <w:sz w:val="20"/>
        </w:rPr>
        <w:t>：</w:t>
      </w:r>
      <w:r>
        <w:rPr>
          <w:sz w:val="20"/>
        </w:rPr>
        <w:t>10.20%</w:t>
      </w:r>
      <w:r>
        <w:rPr>
          <w:rFonts w:hint="eastAsia"/>
          <w:sz w:val="20"/>
        </w:rPr>
        <w:t>；</w:t>
      </w:r>
    </w:p>
    <w:p w14:paraId="023B47B9">
      <w:pPr>
        <w:pStyle w:val="25"/>
        <w:rPr>
          <w:sz w:val="20"/>
          <w:szCs w:val="20"/>
        </w:rPr>
      </w:pPr>
      <w:r>
        <w:rPr>
          <w:rFonts w:hint="eastAsia"/>
          <w:sz w:val="20"/>
        </w:rPr>
        <w:t>供应商资质能力</w:t>
      </w:r>
      <w:r>
        <w:rPr>
          <w:sz w:val="20"/>
        </w:rPr>
        <w:t>W 5</w:t>
      </w:r>
      <w:r>
        <w:rPr>
          <w:rFonts w:hint="eastAsia"/>
          <w:sz w:val="20"/>
        </w:rPr>
        <w:t>：</w:t>
      </w:r>
      <w:r>
        <w:rPr>
          <w:sz w:val="20"/>
        </w:rPr>
        <w:t>3.98%</w:t>
      </w:r>
      <w:r>
        <w:rPr>
          <w:rFonts w:hint="eastAsia"/>
          <w:sz w:val="20"/>
        </w:rPr>
        <w:t>；</w:t>
      </w:r>
    </w:p>
    <w:p w14:paraId="373B22DB">
      <w:pPr>
        <w:pStyle w:val="42"/>
        <w:spacing w:before="156" w:after="156"/>
        <w:ind w:left="0"/>
        <w:outlineLvl w:val="9"/>
      </w:pPr>
      <w:r>
        <w:rPr>
          <w:rFonts w:hint="eastAsia"/>
        </w:rPr>
        <w:t>评价分值</w:t>
      </w:r>
    </w:p>
    <w:p w14:paraId="72B4EA33">
      <w:pPr>
        <w:pStyle w:val="25"/>
      </w:pPr>
      <w:r>
        <w:rPr>
          <w:rFonts w:hint="eastAsia"/>
        </w:rPr>
        <w:t>按4</w:t>
      </w:r>
      <w:r>
        <w:t>.2.1</w:t>
      </w:r>
      <w:r>
        <w:rPr>
          <w:rFonts w:hint="eastAsia"/>
        </w:rPr>
        <w:t>设备全生命周期质量数据表，采用</w:t>
      </w:r>
      <w:bookmarkStart w:id="57" w:name="_Hlk88140216"/>
      <w:r>
        <w:rPr>
          <w:rFonts w:hint="eastAsia"/>
        </w:rPr>
        <w:t>以下线性加权函数</w:t>
      </w:r>
      <w:bookmarkEnd w:id="57"/>
      <w:r>
        <w:rPr>
          <w:rFonts w:hint="eastAsia"/>
        </w:rPr>
        <w:t>作为综合评价模型，对每种设备的质量数据进行综合评价</w:t>
      </w:r>
      <w:bookmarkStart w:id="58" w:name="_Hlk89206348"/>
      <w:r>
        <w:rPr>
          <w:rFonts w:hint="eastAsia"/>
        </w:rPr>
        <w:t>，得出质量评价分值：</w:t>
      </w:r>
    </w:p>
    <w:p w14:paraId="218991AD">
      <w:pPr>
        <w:pStyle w:val="25"/>
        <w:spacing w:before="312" w:beforeLines="100" w:after="312" w:afterLines="100"/>
        <w:ind w:firstLine="4620" w:firstLineChars="2200"/>
        <w:jc w:val="left"/>
      </w:pPr>
      <w:r>
        <w:drawing>
          <wp:anchor distT="0" distB="0" distL="114300" distR="114300" simplePos="0" relativeHeight="251663360" behindDoc="0" locked="0" layoutInCell="1" allowOverlap="1">
            <wp:simplePos x="0" y="0"/>
            <wp:positionH relativeFrom="column">
              <wp:posOffset>1928495</wp:posOffset>
            </wp:positionH>
            <wp:positionV relativeFrom="paragraph">
              <wp:posOffset>62230</wp:posOffset>
            </wp:positionV>
            <wp:extent cx="847090" cy="49593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47023" cy="495960"/>
                    </a:xfrm>
                    <a:prstGeom prst="rect">
                      <a:avLst/>
                    </a:prstGeom>
                    <a:noFill/>
                    <a:ln>
                      <a:noFill/>
                    </a:ln>
                  </pic:spPr>
                </pic:pic>
              </a:graphicData>
            </a:graphic>
          </wp:anchor>
        </w:drawing>
      </w:r>
      <w:r>
        <w:rPr>
          <w:rFonts w:hint="eastAsia"/>
        </w:rPr>
        <w:t>（n</w:t>
      </w:r>
      <w:r>
        <w:t>=1</w:t>
      </w:r>
      <w:r>
        <w:rPr>
          <w:rFonts w:hint="eastAsia"/>
        </w:rPr>
        <w:t>、2、3、4、5）</w:t>
      </w:r>
      <w:bookmarkStart w:id="59" w:name="_Hlk96676433"/>
      <w:r>
        <w:rPr>
          <w:rFonts w:hint="eastAsia"/>
        </w:rPr>
        <w:t>公式（1）</w:t>
      </w:r>
      <w:bookmarkEnd w:id="59"/>
    </w:p>
    <w:bookmarkEnd w:id="58"/>
    <w:p w14:paraId="35A66A19">
      <w:pPr>
        <w:pStyle w:val="64"/>
        <w:numPr>
          <w:ilvl w:val="0"/>
          <w:numId w:val="0"/>
        </w:numPr>
        <w:ind w:firstLine="420" w:firstLineChars="200"/>
        <w:rPr>
          <w:sz w:val="21"/>
          <w:szCs w:val="20"/>
        </w:rPr>
      </w:pPr>
      <w:r>
        <w:rPr>
          <w:rFonts w:hint="eastAsia"/>
          <w:sz w:val="21"/>
          <w:szCs w:val="20"/>
        </w:rPr>
        <w:t xml:space="preserve">其中 </w:t>
      </w:r>
      <w:bookmarkStart w:id="60" w:name="_Hlk89767221"/>
      <w:r>
        <w:rPr>
          <w:rFonts w:hint="eastAsia"/>
          <w:sz w:val="21"/>
          <w:szCs w:val="20"/>
        </w:rPr>
        <w:t>，</w:t>
      </w:r>
      <w:r>
        <w:rPr>
          <w:rFonts w:hint="eastAsia" w:ascii="Gabriola" w:hAnsi="Gabriola"/>
          <w:sz w:val="36"/>
          <w:szCs w:val="36"/>
        </w:rPr>
        <w:t>y</w:t>
      </w:r>
      <w:r>
        <w:rPr>
          <w:rFonts w:hint="eastAsia"/>
          <w:sz w:val="21"/>
          <w:szCs w:val="20"/>
        </w:rPr>
        <w:t>为每种设备的质量评价分值，</w:t>
      </w:r>
      <w:r>
        <w:rPr>
          <w:rFonts w:ascii="Gabriola" w:hAnsi="Gabriola"/>
          <w:sz w:val="36"/>
          <w:szCs w:val="36"/>
        </w:rPr>
        <w:t>w</w:t>
      </w:r>
      <w:bookmarkEnd w:id="60"/>
      <w:r>
        <w:rPr>
          <w:rFonts w:hint="eastAsia" w:ascii="Gabriola" w:hAnsi="Gabriola"/>
          <w:sz w:val="24"/>
          <w:szCs w:val="24"/>
          <w:vertAlign w:val="subscript"/>
        </w:rPr>
        <w:t>i</w:t>
      </w:r>
      <w:r>
        <w:rPr>
          <w:rFonts w:hint="eastAsia"/>
          <w:sz w:val="21"/>
          <w:szCs w:val="20"/>
        </w:rPr>
        <w:t xml:space="preserve">为各维度权重系数， </w:t>
      </w:r>
      <w:r>
        <w:rPr>
          <w:rFonts w:hint="eastAsia" w:ascii="Gabriola" w:hAnsi="Gabriola"/>
          <w:sz w:val="36"/>
          <w:szCs w:val="36"/>
        </w:rPr>
        <w:t>x</w:t>
      </w:r>
      <w:r>
        <w:rPr>
          <w:rFonts w:hint="eastAsia" w:ascii="Gabriola" w:hAnsi="Gabriola"/>
          <w:sz w:val="24"/>
          <w:szCs w:val="24"/>
          <w:vertAlign w:val="subscript"/>
        </w:rPr>
        <w:t>i</w:t>
      </w:r>
      <w:r>
        <w:rPr>
          <w:rFonts w:hint="eastAsia"/>
          <w:sz w:val="21"/>
          <w:szCs w:val="20"/>
        </w:rPr>
        <w:t>为各维度数据分值。</w:t>
      </w:r>
    </w:p>
    <w:p w14:paraId="4C41092A">
      <w:pPr>
        <w:pStyle w:val="25"/>
        <w:spacing w:before="156" w:beforeLines="50" w:after="156" w:afterLines="50"/>
        <w:ind w:firstLine="0" w:firstLineChars="0"/>
        <w:outlineLvl w:val="9"/>
        <w:rPr>
          <w:rFonts w:ascii="黑体" w:hAnsi="黑体" w:eastAsia="黑体"/>
        </w:rPr>
      </w:pPr>
      <w:bookmarkStart w:id="61" w:name="_Hlk88142517"/>
      <w:r>
        <w:rPr>
          <w:rFonts w:hint="eastAsia" w:ascii="黑体" w:hAnsi="黑体" w:eastAsia="黑体"/>
        </w:rPr>
        <w:t>5</w:t>
      </w:r>
      <w:r>
        <w:rPr>
          <w:rFonts w:ascii="黑体" w:hAnsi="黑体" w:eastAsia="黑体"/>
        </w:rPr>
        <w:t xml:space="preserve">.3.1 </w:t>
      </w:r>
      <w:r>
        <w:rPr>
          <w:rFonts w:hint="eastAsia" w:ascii="黑体" w:hAnsi="黑体" w:eastAsia="黑体"/>
        </w:rPr>
        <w:t>同物资品类供应商设备</w:t>
      </w:r>
      <w:bookmarkStart w:id="62" w:name="_Hlk88226260"/>
      <w:r>
        <w:rPr>
          <w:rFonts w:hint="eastAsia" w:ascii="黑体" w:hAnsi="黑体" w:eastAsia="黑体"/>
        </w:rPr>
        <w:t>质量评价结果</w:t>
      </w:r>
      <w:bookmarkEnd w:id="62"/>
    </w:p>
    <w:p w14:paraId="7609600E">
      <w:pPr>
        <w:pStyle w:val="25"/>
        <w:spacing w:after="156" w:afterLines="50"/>
      </w:pPr>
      <w:bookmarkStart w:id="63" w:name="_Hlk88142660"/>
      <w:r>
        <w:rPr>
          <w:rFonts w:hint="eastAsia"/>
        </w:rPr>
        <w:t>按</w:t>
      </w:r>
      <w:r>
        <w:t>5.2</w:t>
      </w:r>
      <w:r>
        <w:rPr>
          <w:rFonts w:hint="eastAsia"/>
        </w:rPr>
        <w:t>评价方法对同物资品类供应商设备质量进行评价，可得如表</w:t>
      </w:r>
      <w:r>
        <w:t>3.</w:t>
      </w:r>
      <w:r>
        <w:rPr>
          <w:rFonts w:hint="eastAsia"/>
        </w:rPr>
        <w:t>所示的同物资品类供应商</w:t>
      </w:r>
      <w:bookmarkEnd w:id="61"/>
      <w:r>
        <w:rPr>
          <w:rFonts w:hint="eastAsia"/>
        </w:rPr>
        <w:t>设备质量评价</w:t>
      </w:r>
      <w:bookmarkEnd w:id="63"/>
      <w:r>
        <w:rPr>
          <w:rFonts w:hint="eastAsia"/>
        </w:rPr>
        <w:t>分值：</w:t>
      </w:r>
    </w:p>
    <w:p w14:paraId="772340A9">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表</w:t>
      </w:r>
      <w:r>
        <w:rPr>
          <w:rFonts w:ascii="黑体" w:hAnsi="黑体" w:eastAsia="黑体"/>
          <w:szCs w:val="21"/>
        </w:rPr>
        <w:t>3</w:t>
      </w:r>
      <w:r>
        <w:rPr>
          <w:rFonts w:ascii="黑体" w:hAnsi="黑体" w:eastAsia="黑体"/>
          <w:sz w:val="21"/>
          <w:szCs w:val="21"/>
        </w:rPr>
        <w:t>.</w:t>
      </w:r>
      <w:bookmarkStart w:id="64" w:name="_Hlk88144171"/>
      <w:r>
        <w:rPr>
          <w:rFonts w:hint="eastAsia" w:ascii="黑体" w:hAnsi="黑体" w:eastAsia="黑体"/>
          <w:sz w:val="21"/>
          <w:szCs w:val="21"/>
        </w:rPr>
        <w:t>同物资品类供应商质量评价结果</w:t>
      </w:r>
      <w:bookmarkEnd w:id="64"/>
    </w:p>
    <w:tbl>
      <w:tblPr>
        <w:tblStyle w:val="35"/>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2146"/>
        <w:gridCol w:w="709"/>
        <w:gridCol w:w="2177"/>
        <w:gridCol w:w="878"/>
        <w:gridCol w:w="1094"/>
        <w:gridCol w:w="906"/>
      </w:tblGrid>
      <w:tr w14:paraId="511603D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2146" w:type="dxa"/>
          </w:tcPr>
          <w:p w14:paraId="1E7484B0">
            <w:pPr>
              <w:pStyle w:val="25"/>
              <w:ind w:firstLine="0" w:firstLineChars="0"/>
              <w:jc w:val="center"/>
              <w:rPr>
                <w:sz w:val="16"/>
                <w:szCs w:val="16"/>
              </w:rPr>
            </w:pPr>
            <w:bookmarkStart w:id="65" w:name="_Hlk88144311"/>
            <w:r>
              <w:rPr>
                <w:rFonts w:hint="eastAsia"/>
                <w:sz w:val="16"/>
                <w:szCs w:val="16"/>
              </w:rPr>
              <w:t>物资品类</w:t>
            </w:r>
          </w:p>
        </w:tc>
        <w:tc>
          <w:tcPr>
            <w:tcW w:w="709" w:type="dxa"/>
          </w:tcPr>
          <w:p w14:paraId="77131FFD">
            <w:pPr>
              <w:pStyle w:val="25"/>
              <w:ind w:firstLine="0" w:firstLineChars="0"/>
              <w:rPr>
                <w:sz w:val="16"/>
                <w:szCs w:val="16"/>
              </w:rPr>
            </w:pPr>
            <w:r>
              <w:rPr>
                <w:rFonts w:hint="eastAsia"/>
                <w:sz w:val="16"/>
                <w:szCs w:val="16"/>
              </w:rPr>
              <w:t>供应商</w:t>
            </w:r>
          </w:p>
        </w:tc>
        <w:tc>
          <w:tcPr>
            <w:tcW w:w="2177" w:type="dxa"/>
          </w:tcPr>
          <w:p w14:paraId="33BF14C3">
            <w:pPr>
              <w:pStyle w:val="25"/>
              <w:ind w:firstLine="0" w:firstLineChars="0"/>
              <w:jc w:val="center"/>
              <w:rPr>
                <w:sz w:val="16"/>
                <w:szCs w:val="16"/>
              </w:rPr>
            </w:pPr>
            <w:r>
              <w:rPr>
                <w:rFonts w:hint="eastAsia"/>
                <w:sz w:val="16"/>
                <w:szCs w:val="16"/>
              </w:rPr>
              <w:t>评价维度</w:t>
            </w:r>
          </w:p>
        </w:tc>
        <w:tc>
          <w:tcPr>
            <w:tcW w:w="878" w:type="dxa"/>
          </w:tcPr>
          <w:p w14:paraId="448C4D63">
            <w:pPr>
              <w:pStyle w:val="25"/>
              <w:ind w:firstLine="0" w:firstLineChars="0"/>
              <w:jc w:val="center"/>
              <w:rPr>
                <w:sz w:val="16"/>
                <w:szCs w:val="16"/>
              </w:rPr>
            </w:pPr>
            <w:r>
              <w:rPr>
                <w:rFonts w:hint="eastAsia"/>
                <w:sz w:val="16"/>
                <w:szCs w:val="16"/>
              </w:rPr>
              <w:t>数据分值</w:t>
            </w:r>
          </w:p>
        </w:tc>
        <w:tc>
          <w:tcPr>
            <w:tcW w:w="1094" w:type="dxa"/>
          </w:tcPr>
          <w:p w14:paraId="5581B2EB">
            <w:pPr>
              <w:pStyle w:val="25"/>
              <w:ind w:firstLine="0" w:firstLineChars="0"/>
              <w:jc w:val="center"/>
              <w:rPr>
                <w:sz w:val="16"/>
                <w:szCs w:val="16"/>
              </w:rPr>
            </w:pPr>
            <w:r>
              <w:rPr>
                <w:rFonts w:hint="eastAsia"/>
                <w:sz w:val="16"/>
                <w:szCs w:val="16"/>
              </w:rPr>
              <w:t>权重系数</w:t>
            </w:r>
          </w:p>
        </w:tc>
        <w:tc>
          <w:tcPr>
            <w:tcW w:w="906" w:type="dxa"/>
          </w:tcPr>
          <w:p w14:paraId="6BB9C70C">
            <w:pPr>
              <w:pStyle w:val="25"/>
              <w:ind w:firstLine="0" w:firstLineChars="0"/>
              <w:jc w:val="center"/>
              <w:rPr>
                <w:sz w:val="16"/>
                <w:szCs w:val="16"/>
              </w:rPr>
            </w:pPr>
            <w:r>
              <w:rPr>
                <w:rFonts w:hint="eastAsia"/>
                <w:sz w:val="16"/>
                <w:szCs w:val="16"/>
              </w:rPr>
              <w:t>评价分值</w:t>
            </w:r>
          </w:p>
        </w:tc>
      </w:tr>
      <w:tr w14:paraId="0CEAE57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146" w:type="dxa"/>
            <w:vMerge w:val="restart"/>
            <w:vAlign w:val="center"/>
          </w:tcPr>
          <w:p w14:paraId="549EC2FF">
            <w:pPr>
              <w:pStyle w:val="25"/>
              <w:ind w:firstLine="0" w:firstLineChars="0"/>
              <w:jc w:val="center"/>
              <w:rPr>
                <w:sz w:val="16"/>
                <w:szCs w:val="16"/>
              </w:rPr>
            </w:pPr>
            <w:r>
              <w:rPr>
                <w:rFonts w:hint="eastAsia"/>
                <w:sz w:val="16"/>
                <w:szCs w:val="16"/>
              </w:rPr>
              <w:t>10kV 交流电力电缆、10kV高压开关柜或10kV油浸式变压器</w:t>
            </w:r>
          </w:p>
        </w:tc>
        <w:tc>
          <w:tcPr>
            <w:tcW w:w="709" w:type="dxa"/>
            <w:vMerge w:val="restart"/>
            <w:vAlign w:val="center"/>
          </w:tcPr>
          <w:p w14:paraId="69AB93B1">
            <w:pPr>
              <w:pStyle w:val="25"/>
              <w:ind w:firstLine="0" w:firstLineChars="0"/>
              <w:jc w:val="center"/>
              <w:rPr>
                <w:szCs w:val="21"/>
              </w:rPr>
            </w:pPr>
            <w:r>
              <w:rPr>
                <w:szCs w:val="21"/>
              </w:rPr>
              <w:t>A</w:t>
            </w:r>
            <w:r>
              <w:rPr>
                <w:szCs w:val="21"/>
                <w:vertAlign w:val="subscript"/>
              </w:rPr>
              <w:t>n</w:t>
            </w:r>
          </w:p>
        </w:tc>
        <w:tc>
          <w:tcPr>
            <w:tcW w:w="2177" w:type="dxa"/>
            <w:shd w:val="clear" w:color="auto" w:fill="auto"/>
            <w:vAlign w:val="center"/>
          </w:tcPr>
          <w:p w14:paraId="764DCC15">
            <w:pPr>
              <w:pStyle w:val="25"/>
              <w:spacing w:line="240" w:lineRule="exact"/>
              <w:ind w:firstLine="0" w:firstLineChars="0"/>
              <w:rPr>
                <w:sz w:val="16"/>
                <w:szCs w:val="16"/>
              </w:rPr>
            </w:pPr>
            <w:r>
              <w:rPr>
                <w:rFonts w:hint="eastAsia" w:hAnsi="宋体" w:cs="宋体"/>
                <w:color w:val="000000"/>
                <w:sz w:val="16"/>
                <w:szCs w:val="16"/>
              </w:rPr>
              <w:t>生产制造（D</w:t>
            </w:r>
            <w:r>
              <w:rPr>
                <w:rFonts w:hAnsi="宋体" w:cs="宋体"/>
                <w:color w:val="000000"/>
                <w:sz w:val="16"/>
                <w:szCs w:val="16"/>
                <w:vertAlign w:val="subscript"/>
              </w:rPr>
              <w:t>1</w:t>
            </w:r>
            <w:r>
              <w:rPr>
                <w:rFonts w:hint="eastAsia" w:hAnsi="宋体" w:cs="宋体"/>
                <w:color w:val="000000"/>
                <w:sz w:val="16"/>
                <w:szCs w:val="16"/>
              </w:rPr>
              <w:t>）</w:t>
            </w:r>
          </w:p>
        </w:tc>
        <w:tc>
          <w:tcPr>
            <w:tcW w:w="878" w:type="dxa"/>
            <w:vAlign w:val="center"/>
          </w:tcPr>
          <w:p w14:paraId="219B3937">
            <w:pPr>
              <w:pStyle w:val="25"/>
              <w:spacing w:line="240" w:lineRule="exact"/>
              <w:ind w:firstLine="0" w:firstLineChars="0"/>
              <w:jc w:val="center"/>
              <w:rPr>
                <w:rFonts w:ascii="Gabriola" w:hAnsi="Gabriola"/>
                <w:sz w:val="20"/>
                <w:szCs w:val="20"/>
              </w:rPr>
            </w:pPr>
            <w:r>
              <w:rPr>
                <w:rFonts w:ascii="Gabriola" w:hAnsi="Gabriola"/>
                <w:sz w:val="20"/>
                <w:szCs w:val="20"/>
              </w:rPr>
              <w:t>X</w:t>
            </w:r>
            <w:r>
              <w:rPr>
                <w:rFonts w:ascii="Gabriola" w:hAnsi="Gabriola"/>
                <w:sz w:val="20"/>
                <w:szCs w:val="20"/>
                <w:vertAlign w:val="subscript"/>
              </w:rPr>
              <w:t>A1</w:t>
            </w:r>
          </w:p>
        </w:tc>
        <w:tc>
          <w:tcPr>
            <w:tcW w:w="1094" w:type="dxa"/>
            <w:vAlign w:val="center"/>
          </w:tcPr>
          <w:p w14:paraId="5AEEC8EC">
            <w:pPr>
              <w:pStyle w:val="25"/>
              <w:spacing w:line="240" w:lineRule="exact"/>
              <w:ind w:firstLine="0" w:firstLineChars="0"/>
              <w:jc w:val="center"/>
              <w:rPr>
                <w:rFonts w:ascii="Gabriola" w:hAnsi="Gabriola"/>
                <w:sz w:val="18"/>
                <w:szCs w:val="18"/>
              </w:rPr>
            </w:pPr>
            <w:bookmarkStart w:id="66" w:name="_Hlk88263008"/>
            <w:r>
              <w:rPr>
                <w:rFonts w:ascii="Gabriola" w:hAnsi="Gabriola"/>
                <w:sz w:val="18"/>
                <w:szCs w:val="18"/>
              </w:rPr>
              <w:t>W</w:t>
            </w:r>
            <w:bookmarkEnd w:id="66"/>
            <w:r>
              <w:rPr>
                <w:rFonts w:ascii="Gabriola" w:hAnsi="Gabriola"/>
                <w:sz w:val="18"/>
                <w:szCs w:val="18"/>
                <w:vertAlign w:val="subscript"/>
              </w:rPr>
              <w:t>A1</w:t>
            </w:r>
          </w:p>
        </w:tc>
        <w:tc>
          <w:tcPr>
            <w:tcW w:w="906" w:type="dxa"/>
            <w:vMerge w:val="restart"/>
            <w:vAlign w:val="center"/>
          </w:tcPr>
          <w:p w14:paraId="159EECB0">
            <w:pPr>
              <w:pStyle w:val="25"/>
              <w:spacing w:line="240" w:lineRule="exact"/>
              <w:ind w:firstLine="0" w:firstLineChars="0"/>
              <w:jc w:val="center"/>
              <w:rPr>
                <w:sz w:val="20"/>
                <w:szCs w:val="20"/>
              </w:rPr>
            </w:pPr>
            <w:r>
              <w:rPr>
                <w:sz w:val="24"/>
                <w:szCs w:val="24"/>
              </w:rPr>
              <w:t>y</w:t>
            </w:r>
            <w:r>
              <w:rPr>
                <w:rFonts w:hint="eastAsia"/>
                <w:sz w:val="24"/>
                <w:szCs w:val="24"/>
                <w:vertAlign w:val="subscript"/>
              </w:rPr>
              <w:t>A</w:t>
            </w:r>
            <w:r>
              <w:rPr>
                <w:sz w:val="24"/>
                <w:szCs w:val="24"/>
                <w:vertAlign w:val="subscript"/>
              </w:rPr>
              <w:t>n</w:t>
            </w:r>
          </w:p>
        </w:tc>
      </w:tr>
      <w:tr w14:paraId="42357E7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146" w:type="dxa"/>
            <w:vMerge w:val="continue"/>
          </w:tcPr>
          <w:p w14:paraId="2A710129">
            <w:pPr>
              <w:pStyle w:val="25"/>
              <w:ind w:firstLine="0" w:firstLineChars="0"/>
              <w:rPr>
                <w:sz w:val="16"/>
                <w:szCs w:val="16"/>
              </w:rPr>
            </w:pPr>
          </w:p>
        </w:tc>
        <w:tc>
          <w:tcPr>
            <w:tcW w:w="709" w:type="dxa"/>
            <w:vMerge w:val="continue"/>
          </w:tcPr>
          <w:p w14:paraId="4C4644F4">
            <w:pPr>
              <w:pStyle w:val="25"/>
              <w:ind w:firstLine="0" w:firstLineChars="0"/>
              <w:rPr>
                <w:sz w:val="16"/>
                <w:szCs w:val="16"/>
              </w:rPr>
            </w:pPr>
          </w:p>
        </w:tc>
        <w:tc>
          <w:tcPr>
            <w:tcW w:w="2177" w:type="dxa"/>
            <w:shd w:val="clear" w:color="auto" w:fill="auto"/>
            <w:vAlign w:val="center"/>
          </w:tcPr>
          <w:p w14:paraId="3ED03449">
            <w:pPr>
              <w:pStyle w:val="25"/>
              <w:spacing w:line="240" w:lineRule="exact"/>
              <w:ind w:firstLine="0" w:firstLineChars="0"/>
              <w:rPr>
                <w:sz w:val="16"/>
                <w:szCs w:val="16"/>
              </w:rPr>
            </w:pPr>
            <w:r>
              <w:rPr>
                <w:rFonts w:hint="eastAsia" w:hAnsi="宋体" w:cs="宋体"/>
                <w:color w:val="000000"/>
                <w:sz w:val="16"/>
                <w:szCs w:val="16"/>
              </w:rPr>
              <w:t>供应商资质能力（D</w:t>
            </w:r>
            <w:r>
              <w:rPr>
                <w:rFonts w:hAnsi="宋体" w:cs="宋体"/>
                <w:color w:val="000000"/>
                <w:sz w:val="16"/>
                <w:szCs w:val="16"/>
                <w:vertAlign w:val="subscript"/>
              </w:rPr>
              <w:t>2</w:t>
            </w:r>
            <w:r>
              <w:rPr>
                <w:rFonts w:hint="eastAsia" w:hAnsi="宋体" w:cs="宋体"/>
                <w:color w:val="000000"/>
                <w:sz w:val="16"/>
                <w:szCs w:val="16"/>
              </w:rPr>
              <w:t>）</w:t>
            </w:r>
          </w:p>
        </w:tc>
        <w:tc>
          <w:tcPr>
            <w:tcW w:w="878" w:type="dxa"/>
            <w:vAlign w:val="center"/>
          </w:tcPr>
          <w:p w14:paraId="5472A0B8">
            <w:pPr>
              <w:pStyle w:val="25"/>
              <w:spacing w:line="240" w:lineRule="exact"/>
              <w:ind w:firstLine="0" w:firstLineChars="0"/>
              <w:jc w:val="center"/>
              <w:rPr>
                <w:rFonts w:ascii="Gabriola" w:hAnsi="Gabriola"/>
                <w:sz w:val="18"/>
                <w:szCs w:val="18"/>
              </w:rPr>
            </w:pPr>
            <w:r>
              <w:rPr>
                <w:rFonts w:ascii="Gabriola" w:hAnsi="Gabriola"/>
                <w:sz w:val="20"/>
                <w:szCs w:val="20"/>
              </w:rPr>
              <w:t>X</w:t>
            </w:r>
            <w:r>
              <w:rPr>
                <w:rFonts w:ascii="Gabriola" w:hAnsi="Gabriola"/>
                <w:sz w:val="20"/>
                <w:szCs w:val="20"/>
                <w:vertAlign w:val="subscript"/>
              </w:rPr>
              <w:t>A2</w:t>
            </w:r>
          </w:p>
        </w:tc>
        <w:tc>
          <w:tcPr>
            <w:tcW w:w="1094" w:type="dxa"/>
            <w:vAlign w:val="center"/>
          </w:tcPr>
          <w:p w14:paraId="4C8CA8A1">
            <w:pPr>
              <w:pStyle w:val="25"/>
              <w:spacing w:line="240" w:lineRule="exact"/>
              <w:ind w:firstLine="0" w:firstLineChars="0"/>
              <w:jc w:val="center"/>
              <w:rPr>
                <w:rFonts w:ascii="Gabriola" w:hAnsi="Gabriola"/>
                <w:sz w:val="18"/>
                <w:szCs w:val="18"/>
              </w:rPr>
            </w:pPr>
            <w:r>
              <w:rPr>
                <w:rFonts w:ascii="Gabriola" w:hAnsi="Gabriola"/>
                <w:sz w:val="18"/>
                <w:szCs w:val="18"/>
              </w:rPr>
              <w:t>W</w:t>
            </w:r>
            <w:r>
              <w:rPr>
                <w:rFonts w:ascii="Gabriola" w:hAnsi="Gabriola"/>
                <w:sz w:val="18"/>
                <w:szCs w:val="18"/>
                <w:vertAlign w:val="subscript"/>
              </w:rPr>
              <w:t>A2</w:t>
            </w:r>
          </w:p>
        </w:tc>
        <w:tc>
          <w:tcPr>
            <w:tcW w:w="906" w:type="dxa"/>
            <w:vMerge w:val="continue"/>
            <w:vAlign w:val="center"/>
          </w:tcPr>
          <w:p w14:paraId="4B2E1702">
            <w:pPr>
              <w:pStyle w:val="25"/>
              <w:spacing w:line="240" w:lineRule="exact"/>
              <w:ind w:firstLine="0" w:firstLineChars="0"/>
              <w:jc w:val="center"/>
              <w:rPr>
                <w:sz w:val="16"/>
                <w:szCs w:val="16"/>
              </w:rPr>
            </w:pPr>
          </w:p>
        </w:tc>
      </w:tr>
      <w:tr w14:paraId="23D9AF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146" w:type="dxa"/>
            <w:vMerge w:val="continue"/>
          </w:tcPr>
          <w:p w14:paraId="19428EA7">
            <w:pPr>
              <w:pStyle w:val="25"/>
              <w:ind w:firstLine="0" w:firstLineChars="0"/>
              <w:rPr>
                <w:sz w:val="16"/>
                <w:szCs w:val="16"/>
              </w:rPr>
            </w:pPr>
          </w:p>
        </w:tc>
        <w:tc>
          <w:tcPr>
            <w:tcW w:w="709" w:type="dxa"/>
            <w:vMerge w:val="continue"/>
          </w:tcPr>
          <w:p w14:paraId="29675F35">
            <w:pPr>
              <w:pStyle w:val="25"/>
              <w:ind w:firstLine="0" w:firstLineChars="0"/>
              <w:rPr>
                <w:sz w:val="16"/>
                <w:szCs w:val="16"/>
              </w:rPr>
            </w:pPr>
          </w:p>
        </w:tc>
        <w:tc>
          <w:tcPr>
            <w:tcW w:w="2177" w:type="dxa"/>
            <w:vAlign w:val="center"/>
          </w:tcPr>
          <w:p w14:paraId="7DBC331E">
            <w:pPr>
              <w:pStyle w:val="25"/>
              <w:spacing w:line="240" w:lineRule="exact"/>
              <w:ind w:firstLine="0" w:firstLineChars="0"/>
              <w:rPr>
                <w:sz w:val="16"/>
                <w:szCs w:val="16"/>
              </w:rPr>
            </w:pPr>
            <w:r>
              <w:rPr>
                <w:rFonts w:hint="eastAsia" w:hAnsi="宋体" w:cs="宋体"/>
                <w:color w:val="000000"/>
                <w:sz w:val="16"/>
                <w:szCs w:val="16"/>
              </w:rPr>
              <w:t>设备抽检（D</w:t>
            </w:r>
            <w:r>
              <w:rPr>
                <w:rFonts w:hAnsi="宋体" w:cs="宋体"/>
                <w:color w:val="000000"/>
                <w:sz w:val="16"/>
                <w:szCs w:val="16"/>
                <w:vertAlign w:val="subscript"/>
              </w:rPr>
              <w:t>3</w:t>
            </w:r>
            <w:r>
              <w:rPr>
                <w:rFonts w:hint="eastAsia" w:hAnsi="宋体" w:cs="宋体"/>
                <w:color w:val="000000"/>
                <w:sz w:val="16"/>
                <w:szCs w:val="16"/>
              </w:rPr>
              <w:t>）</w:t>
            </w:r>
          </w:p>
        </w:tc>
        <w:tc>
          <w:tcPr>
            <w:tcW w:w="878" w:type="dxa"/>
            <w:vAlign w:val="center"/>
          </w:tcPr>
          <w:p w14:paraId="3801EEF3">
            <w:pPr>
              <w:pStyle w:val="25"/>
              <w:spacing w:line="240" w:lineRule="exact"/>
              <w:ind w:firstLine="0" w:firstLineChars="0"/>
              <w:jc w:val="center"/>
              <w:rPr>
                <w:rFonts w:ascii="Gabriola" w:hAnsi="Gabriola"/>
                <w:sz w:val="18"/>
                <w:szCs w:val="18"/>
              </w:rPr>
            </w:pPr>
            <w:r>
              <w:rPr>
                <w:rFonts w:ascii="Gabriola" w:hAnsi="Gabriola"/>
                <w:sz w:val="20"/>
                <w:szCs w:val="20"/>
              </w:rPr>
              <w:t>X</w:t>
            </w:r>
            <w:r>
              <w:rPr>
                <w:rFonts w:ascii="Gabriola" w:hAnsi="Gabriola"/>
                <w:sz w:val="20"/>
                <w:szCs w:val="20"/>
                <w:vertAlign w:val="subscript"/>
              </w:rPr>
              <w:t>A3</w:t>
            </w:r>
          </w:p>
        </w:tc>
        <w:tc>
          <w:tcPr>
            <w:tcW w:w="1094" w:type="dxa"/>
            <w:vAlign w:val="center"/>
          </w:tcPr>
          <w:p w14:paraId="3D38AD3B">
            <w:pPr>
              <w:pStyle w:val="25"/>
              <w:spacing w:line="240" w:lineRule="exact"/>
              <w:ind w:firstLine="0" w:firstLineChars="0"/>
              <w:jc w:val="center"/>
              <w:rPr>
                <w:rFonts w:ascii="Gabriola" w:hAnsi="Gabriola"/>
                <w:sz w:val="18"/>
                <w:szCs w:val="18"/>
              </w:rPr>
            </w:pPr>
            <w:r>
              <w:rPr>
                <w:rFonts w:ascii="Gabriola" w:hAnsi="Gabriola"/>
                <w:sz w:val="18"/>
                <w:szCs w:val="18"/>
              </w:rPr>
              <w:t>W</w:t>
            </w:r>
            <w:r>
              <w:rPr>
                <w:rFonts w:ascii="Gabriola" w:hAnsi="Gabriola"/>
                <w:sz w:val="18"/>
                <w:szCs w:val="18"/>
                <w:vertAlign w:val="subscript"/>
              </w:rPr>
              <w:t>A3</w:t>
            </w:r>
          </w:p>
        </w:tc>
        <w:tc>
          <w:tcPr>
            <w:tcW w:w="906" w:type="dxa"/>
            <w:vMerge w:val="continue"/>
            <w:vAlign w:val="center"/>
          </w:tcPr>
          <w:p w14:paraId="425A78D1">
            <w:pPr>
              <w:pStyle w:val="25"/>
              <w:spacing w:line="240" w:lineRule="exact"/>
              <w:ind w:firstLine="0" w:firstLineChars="0"/>
              <w:jc w:val="center"/>
              <w:rPr>
                <w:sz w:val="16"/>
                <w:szCs w:val="16"/>
              </w:rPr>
            </w:pPr>
          </w:p>
        </w:tc>
      </w:tr>
      <w:tr w14:paraId="74107AE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146" w:type="dxa"/>
            <w:vMerge w:val="continue"/>
          </w:tcPr>
          <w:p w14:paraId="71246B4F">
            <w:pPr>
              <w:pStyle w:val="25"/>
              <w:ind w:firstLine="0" w:firstLineChars="0"/>
              <w:rPr>
                <w:sz w:val="16"/>
                <w:szCs w:val="16"/>
              </w:rPr>
            </w:pPr>
          </w:p>
        </w:tc>
        <w:tc>
          <w:tcPr>
            <w:tcW w:w="709" w:type="dxa"/>
            <w:vMerge w:val="continue"/>
          </w:tcPr>
          <w:p w14:paraId="1D359FBA">
            <w:pPr>
              <w:pStyle w:val="25"/>
              <w:ind w:firstLine="0" w:firstLineChars="0"/>
              <w:rPr>
                <w:sz w:val="16"/>
                <w:szCs w:val="16"/>
              </w:rPr>
            </w:pPr>
          </w:p>
        </w:tc>
        <w:tc>
          <w:tcPr>
            <w:tcW w:w="2177" w:type="dxa"/>
            <w:vAlign w:val="center"/>
          </w:tcPr>
          <w:p w14:paraId="2D3D56F2">
            <w:pPr>
              <w:pStyle w:val="25"/>
              <w:spacing w:line="240" w:lineRule="exact"/>
              <w:ind w:firstLine="0" w:firstLineChars="0"/>
              <w:rPr>
                <w:sz w:val="16"/>
                <w:szCs w:val="16"/>
              </w:rPr>
            </w:pPr>
            <w:r>
              <w:rPr>
                <w:rFonts w:hint="eastAsia" w:hAnsi="宋体" w:cs="宋体"/>
                <w:color w:val="000000"/>
                <w:sz w:val="16"/>
                <w:szCs w:val="16"/>
              </w:rPr>
              <w:t>基建安装（D</w:t>
            </w:r>
            <w:r>
              <w:rPr>
                <w:rFonts w:hAnsi="宋体" w:cs="宋体"/>
                <w:color w:val="000000"/>
                <w:sz w:val="16"/>
                <w:szCs w:val="16"/>
                <w:vertAlign w:val="subscript"/>
              </w:rPr>
              <w:t>4</w:t>
            </w:r>
            <w:r>
              <w:rPr>
                <w:rFonts w:hint="eastAsia" w:hAnsi="宋体" w:cs="宋体"/>
                <w:color w:val="000000"/>
                <w:sz w:val="16"/>
                <w:szCs w:val="16"/>
              </w:rPr>
              <w:t>）</w:t>
            </w:r>
          </w:p>
        </w:tc>
        <w:tc>
          <w:tcPr>
            <w:tcW w:w="878" w:type="dxa"/>
            <w:vAlign w:val="center"/>
          </w:tcPr>
          <w:p w14:paraId="253D5A7B">
            <w:pPr>
              <w:pStyle w:val="25"/>
              <w:spacing w:line="240" w:lineRule="exact"/>
              <w:ind w:firstLine="0" w:firstLineChars="0"/>
              <w:jc w:val="center"/>
              <w:rPr>
                <w:rFonts w:ascii="Gabriola" w:hAnsi="Gabriola"/>
                <w:sz w:val="18"/>
                <w:szCs w:val="18"/>
              </w:rPr>
            </w:pPr>
            <w:r>
              <w:rPr>
                <w:rFonts w:ascii="Gabriola" w:hAnsi="Gabriola"/>
                <w:sz w:val="20"/>
                <w:szCs w:val="20"/>
              </w:rPr>
              <w:t>X</w:t>
            </w:r>
            <w:r>
              <w:rPr>
                <w:rFonts w:ascii="Gabriola" w:hAnsi="Gabriola"/>
                <w:sz w:val="20"/>
                <w:szCs w:val="20"/>
                <w:vertAlign w:val="subscript"/>
              </w:rPr>
              <w:t>A4</w:t>
            </w:r>
          </w:p>
        </w:tc>
        <w:tc>
          <w:tcPr>
            <w:tcW w:w="1094" w:type="dxa"/>
            <w:vAlign w:val="center"/>
          </w:tcPr>
          <w:p w14:paraId="3DC4EEFC">
            <w:pPr>
              <w:pStyle w:val="25"/>
              <w:spacing w:line="240" w:lineRule="exact"/>
              <w:ind w:firstLine="0" w:firstLineChars="0"/>
              <w:jc w:val="center"/>
              <w:rPr>
                <w:rFonts w:ascii="Gabriola" w:hAnsi="Gabriola"/>
                <w:sz w:val="18"/>
                <w:szCs w:val="18"/>
              </w:rPr>
            </w:pPr>
            <w:r>
              <w:rPr>
                <w:rFonts w:ascii="Gabriola" w:hAnsi="Gabriola"/>
                <w:sz w:val="18"/>
                <w:szCs w:val="18"/>
              </w:rPr>
              <w:t>W</w:t>
            </w:r>
            <w:r>
              <w:rPr>
                <w:rFonts w:ascii="Gabriola" w:hAnsi="Gabriola"/>
                <w:sz w:val="18"/>
                <w:szCs w:val="18"/>
                <w:vertAlign w:val="subscript"/>
              </w:rPr>
              <w:t>A4</w:t>
            </w:r>
          </w:p>
        </w:tc>
        <w:tc>
          <w:tcPr>
            <w:tcW w:w="906" w:type="dxa"/>
            <w:vMerge w:val="continue"/>
            <w:vAlign w:val="center"/>
          </w:tcPr>
          <w:p w14:paraId="47110C45">
            <w:pPr>
              <w:pStyle w:val="25"/>
              <w:spacing w:line="240" w:lineRule="exact"/>
              <w:ind w:firstLine="0" w:firstLineChars="0"/>
              <w:jc w:val="center"/>
              <w:rPr>
                <w:sz w:val="16"/>
                <w:szCs w:val="16"/>
              </w:rPr>
            </w:pPr>
          </w:p>
        </w:tc>
      </w:tr>
      <w:tr w14:paraId="3DC0D27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2146" w:type="dxa"/>
            <w:vMerge w:val="continue"/>
          </w:tcPr>
          <w:p w14:paraId="374890FE">
            <w:pPr>
              <w:pStyle w:val="25"/>
              <w:ind w:firstLine="0" w:firstLineChars="0"/>
              <w:rPr>
                <w:sz w:val="16"/>
                <w:szCs w:val="16"/>
              </w:rPr>
            </w:pPr>
          </w:p>
        </w:tc>
        <w:tc>
          <w:tcPr>
            <w:tcW w:w="709" w:type="dxa"/>
            <w:vMerge w:val="continue"/>
          </w:tcPr>
          <w:p w14:paraId="75EF316B">
            <w:pPr>
              <w:pStyle w:val="25"/>
              <w:ind w:firstLine="0" w:firstLineChars="0"/>
              <w:rPr>
                <w:sz w:val="16"/>
                <w:szCs w:val="16"/>
              </w:rPr>
            </w:pPr>
          </w:p>
        </w:tc>
        <w:tc>
          <w:tcPr>
            <w:tcW w:w="2177" w:type="dxa"/>
            <w:shd w:val="clear" w:color="auto" w:fill="auto"/>
            <w:vAlign w:val="center"/>
          </w:tcPr>
          <w:p w14:paraId="7447CB35">
            <w:pPr>
              <w:pStyle w:val="25"/>
              <w:spacing w:line="240" w:lineRule="exact"/>
              <w:ind w:firstLine="0" w:firstLineChars="0"/>
              <w:rPr>
                <w:sz w:val="16"/>
                <w:szCs w:val="16"/>
              </w:rPr>
            </w:pPr>
            <w:r>
              <w:rPr>
                <w:rFonts w:hint="eastAsia" w:hAnsi="宋体" w:cs="宋体"/>
                <w:color w:val="000000"/>
                <w:sz w:val="16"/>
                <w:szCs w:val="16"/>
              </w:rPr>
              <w:t>设备运行（D</w:t>
            </w:r>
            <w:r>
              <w:rPr>
                <w:rFonts w:hAnsi="宋体" w:cs="宋体"/>
                <w:color w:val="000000"/>
                <w:sz w:val="16"/>
                <w:szCs w:val="16"/>
                <w:vertAlign w:val="subscript"/>
              </w:rPr>
              <w:t>5</w:t>
            </w:r>
            <w:r>
              <w:rPr>
                <w:rFonts w:hint="eastAsia" w:hAnsi="宋体" w:cs="宋体"/>
                <w:color w:val="000000"/>
                <w:sz w:val="16"/>
                <w:szCs w:val="16"/>
              </w:rPr>
              <w:t>）</w:t>
            </w:r>
          </w:p>
        </w:tc>
        <w:tc>
          <w:tcPr>
            <w:tcW w:w="878" w:type="dxa"/>
            <w:vAlign w:val="center"/>
          </w:tcPr>
          <w:p w14:paraId="014B9B7B">
            <w:pPr>
              <w:pStyle w:val="25"/>
              <w:spacing w:line="240" w:lineRule="exact"/>
              <w:ind w:firstLine="0" w:firstLineChars="0"/>
              <w:jc w:val="center"/>
              <w:rPr>
                <w:rFonts w:ascii="Gabriola" w:hAnsi="Gabriola"/>
                <w:sz w:val="18"/>
                <w:szCs w:val="18"/>
              </w:rPr>
            </w:pPr>
            <w:r>
              <w:rPr>
                <w:rFonts w:ascii="Gabriola" w:hAnsi="Gabriola"/>
                <w:sz w:val="20"/>
                <w:szCs w:val="20"/>
              </w:rPr>
              <w:t>X</w:t>
            </w:r>
            <w:r>
              <w:rPr>
                <w:rFonts w:ascii="Gabriola" w:hAnsi="Gabriola"/>
                <w:sz w:val="20"/>
                <w:szCs w:val="20"/>
                <w:vertAlign w:val="subscript"/>
              </w:rPr>
              <w:t>A5</w:t>
            </w:r>
          </w:p>
        </w:tc>
        <w:tc>
          <w:tcPr>
            <w:tcW w:w="1094" w:type="dxa"/>
            <w:vAlign w:val="center"/>
          </w:tcPr>
          <w:p w14:paraId="4C986E76">
            <w:pPr>
              <w:pStyle w:val="25"/>
              <w:spacing w:line="240" w:lineRule="exact"/>
              <w:ind w:firstLine="0" w:firstLineChars="0"/>
              <w:jc w:val="center"/>
              <w:rPr>
                <w:rFonts w:ascii="Gabriola" w:hAnsi="Gabriola"/>
                <w:sz w:val="18"/>
                <w:szCs w:val="18"/>
              </w:rPr>
            </w:pPr>
            <w:r>
              <w:rPr>
                <w:rFonts w:ascii="Gabriola" w:hAnsi="Gabriola"/>
                <w:sz w:val="18"/>
                <w:szCs w:val="18"/>
              </w:rPr>
              <w:t>W</w:t>
            </w:r>
            <w:r>
              <w:rPr>
                <w:rFonts w:ascii="Gabriola" w:hAnsi="Gabriola"/>
                <w:sz w:val="18"/>
                <w:szCs w:val="18"/>
                <w:vertAlign w:val="subscript"/>
              </w:rPr>
              <w:t>A5</w:t>
            </w:r>
          </w:p>
        </w:tc>
        <w:tc>
          <w:tcPr>
            <w:tcW w:w="906" w:type="dxa"/>
            <w:vMerge w:val="continue"/>
            <w:vAlign w:val="center"/>
          </w:tcPr>
          <w:p w14:paraId="0ED2883A">
            <w:pPr>
              <w:pStyle w:val="25"/>
              <w:spacing w:line="240" w:lineRule="exact"/>
              <w:ind w:firstLine="0" w:firstLineChars="0"/>
              <w:jc w:val="center"/>
              <w:rPr>
                <w:sz w:val="16"/>
                <w:szCs w:val="16"/>
              </w:rPr>
            </w:pPr>
          </w:p>
        </w:tc>
      </w:tr>
      <w:bookmarkEnd w:id="65"/>
    </w:tbl>
    <w:p w14:paraId="2956FE51">
      <w:pPr>
        <w:pStyle w:val="25"/>
        <w:spacing w:before="156" w:beforeLines="50" w:after="156" w:afterLines="50"/>
      </w:pPr>
      <w:r>
        <w:rPr>
          <w:rFonts w:hint="eastAsia"/>
        </w:rPr>
        <w:t>根据同类设备不同供应商A</w:t>
      </w:r>
      <w:r>
        <w:rPr>
          <w:vertAlign w:val="subscript"/>
        </w:rPr>
        <w:t>n</w:t>
      </w:r>
      <w:r>
        <w:rPr>
          <w:rFonts w:hint="eastAsia"/>
        </w:rPr>
        <w:t>（</w:t>
      </w:r>
      <w:r>
        <w:t>n=1</w:t>
      </w:r>
      <w:r>
        <w:rPr>
          <w:rFonts w:hint="eastAsia"/>
        </w:rPr>
        <w:t>、2、3……n</w:t>
      </w:r>
      <w:r>
        <w:t>,</w:t>
      </w:r>
      <w:r>
        <w:rPr>
          <w:rFonts w:hint="eastAsia"/>
        </w:rPr>
        <w:t>表示n个供应商）按公式（1）计算质量评价分值，以</w:t>
      </w:r>
      <w:bookmarkStart w:id="67" w:name="_Hlk96675783"/>
      <w:r>
        <w:rPr>
          <w:sz w:val="24"/>
          <w:szCs w:val="24"/>
        </w:rPr>
        <w:t>y</w:t>
      </w:r>
      <w:r>
        <w:rPr>
          <w:rFonts w:hint="eastAsia"/>
          <w:sz w:val="24"/>
          <w:szCs w:val="24"/>
          <w:vertAlign w:val="subscript"/>
        </w:rPr>
        <w:t>A</w:t>
      </w:r>
      <w:bookmarkEnd w:id="67"/>
      <w:bookmarkStart w:id="68" w:name="_Hlk96675807"/>
      <w:r>
        <w:rPr>
          <w:sz w:val="24"/>
          <w:szCs w:val="24"/>
          <w:vertAlign w:val="subscript"/>
        </w:rPr>
        <w:t>n</w:t>
      </w:r>
      <w:bookmarkEnd w:id="68"/>
      <w:r>
        <w:rPr>
          <w:rFonts w:hint="eastAsia"/>
        </w:rPr>
        <w:t>表示，满分为1</w:t>
      </w:r>
      <w:r>
        <w:t>00</w:t>
      </w:r>
      <w:r>
        <w:rPr>
          <w:rFonts w:hint="eastAsia"/>
        </w:rPr>
        <w:t>分。</w:t>
      </w:r>
    </w:p>
    <w:p w14:paraId="09673029">
      <w:pPr>
        <w:pStyle w:val="25"/>
        <w:spacing w:before="156" w:beforeLines="50" w:after="156" w:afterLines="50"/>
        <w:ind w:firstLine="0" w:firstLineChars="0"/>
        <w:outlineLvl w:val="9"/>
        <w:rPr>
          <w:rFonts w:ascii="黑体" w:hAnsi="黑体" w:eastAsia="黑体"/>
        </w:rPr>
      </w:pPr>
      <w:r>
        <w:rPr>
          <w:rFonts w:hint="eastAsia" w:ascii="黑体" w:hAnsi="黑体" w:eastAsia="黑体"/>
        </w:rPr>
        <w:t>5</w:t>
      </w:r>
      <w:r>
        <w:rPr>
          <w:rFonts w:ascii="黑体" w:hAnsi="黑体" w:eastAsia="黑体"/>
        </w:rPr>
        <w:t>.3.2</w:t>
      </w:r>
      <w:bookmarkStart w:id="69" w:name="_Hlk88144262"/>
      <w:r>
        <w:rPr>
          <w:rFonts w:ascii="黑体" w:hAnsi="黑体" w:eastAsia="黑体"/>
        </w:rPr>
        <w:t xml:space="preserve"> </w:t>
      </w:r>
      <w:r>
        <w:rPr>
          <w:rFonts w:hint="eastAsia" w:ascii="黑体" w:hAnsi="黑体" w:eastAsia="黑体"/>
        </w:rPr>
        <w:t>同物资品类供应商设备质量评价分值汇总</w:t>
      </w:r>
      <w:bookmarkEnd w:id="69"/>
    </w:p>
    <w:p w14:paraId="56AF5A5A">
      <w:pPr>
        <w:pStyle w:val="25"/>
      </w:pPr>
      <w:r>
        <w:rPr>
          <w:rFonts w:hint="eastAsia"/>
        </w:rPr>
        <w:t>通过对每个物资品类n个供应商质量评价分值汇总，形成</w:t>
      </w:r>
      <w:bookmarkStart w:id="70" w:name="_Hlk88166802"/>
      <w:r>
        <w:rPr>
          <w:rFonts w:hint="eastAsia"/>
        </w:rPr>
        <w:t>物资品类供应商设备质量评价分值汇总表</w:t>
      </w:r>
      <w:bookmarkEnd w:id="70"/>
      <w:r>
        <w:rPr>
          <w:rFonts w:hint="eastAsia"/>
        </w:rPr>
        <w:t>，如表</w:t>
      </w:r>
      <w:r>
        <w:t>4.</w:t>
      </w:r>
      <w:r>
        <w:rPr>
          <w:rFonts w:hint="eastAsia"/>
        </w:rPr>
        <w:t>所示：</w:t>
      </w:r>
    </w:p>
    <w:p w14:paraId="202A1726">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表</w:t>
      </w:r>
      <w:r>
        <w:rPr>
          <w:rFonts w:ascii="黑体" w:hAnsi="黑体" w:eastAsia="黑体"/>
          <w:szCs w:val="21"/>
        </w:rPr>
        <w:t>4</w:t>
      </w:r>
      <w:r>
        <w:rPr>
          <w:rFonts w:ascii="黑体" w:hAnsi="黑体" w:eastAsia="黑体"/>
          <w:sz w:val="21"/>
          <w:szCs w:val="21"/>
        </w:rPr>
        <w:t>.</w:t>
      </w:r>
      <w:r>
        <w:rPr>
          <w:rFonts w:hint="eastAsia" w:ascii="黑体" w:hAnsi="黑体" w:eastAsia="黑体"/>
          <w:sz w:val="21"/>
          <w:szCs w:val="21"/>
        </w:rPr>
        <w:t>物资品类供应商设备质量评价结果汇总表</w:t>
      </w:r>
    </w:p>
    <w:tbl>
      <w:tblPr>
        <w:tblStyle w:val="35"/>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4461"/>
        <w:gridCol w:w="1698"/>
        <w:gridCol w:w="1758"/>
      </w:tblGrid>
      <w:tr w14:paraId="0638728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4461" w:type="dxa"/>
          </w:tcPr>
          <w:p w14:paraId="09C6C83A">
            <w:pPr>
              <w:pStyle w:val="25"/>
              <w:ind w:firstLine="0" w:firstLineChars="0"/>
              <w:jc w:val="center"/>
              <w:rPr>
                <w:sz w:val="16"/>
                <w:szCs w:val="16"/>
              </w:rPr>
            </w:pPr>
            <w:r>
              <w:rPr>
                <w:rFonts w:hint="eastAsia"/>
                <w:sz w:val="16"/>
                <w:szCs w:val="16"/>
              </w:rPr>
              <w:t>物资品类</w:t>
            </w:r>
          </w:p>
        </w:tc>
        <w:tc>
          <w:tcPr>
            <w:tcW w:w="1698" w:type="dxa"/>
          </w:tcPr>
          <w:p w14:paraId="29FC0E1F">
            <w:pPr>
              <w:pStyle w:val="25"/>
              <w:ind w:firstLine="0" w:firstLineChars="0"/>
              <w:jc w:val="center"/>
              <w:rPr>
                <w:sz w:val="16"/>
                <w:szCs w:val="16"/>
              </w:rPr>
            </w:pPr>
            <w:r>
              <w:rPr>
                <w:rFonts w:hint="eastAsia"/>
                <w:sz w:val="16"/>
                <w:szCs w:val="16"/>
              </w:rPr>
              <w:t>供应商</w:t>
            </w:r>
          </w:p>
        </w:tc>
        <w:tc>
          <w:tcPr>
            <w:tcW w:w="1758" w:type="dxa"/>
          </w:tcPr>
          <w:p w14:paraId="45B685D1">
            <w:pPr>
              <w:pStyle w:val="25"/>
              <w:ind w:firstLine="0" w:firstLineChars="0"/>
              <w:jc w:val="center"/>
              <w:rPr>
                <w:sz w:val="16"/>
                <w:szCs w:val="16"/>
              </w:rPr>
            </w:pPr>
            <w:r>
              <w:rPr>
                <w:rFonts w:hint="eastAsia"/>
                <w:sz w:val="16"/>
                <w:szCs w:val="16"/>
              </w:rPr>
              <w:t>评价分值</w:t>
            </w:r>
          </w:p>
        </w:tc>
      </w:tr>
      <w:tr w14:paraId="6DC5984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461" w:type="dxa"/>
            <w:vMerge w:val="restart"/>
            <w:vAlign w:val="center"/>
          </w:tcPr>
          <w:p w14:paraId="3E8D6E98">
            <w:pPr>
              <w:pStyle w:val="25"/>
              <w:ind w:firstLine="0" w:firstLineChars="0"/>
              <w:jc w:val="center"/>
              <w:rPr>
                <w:sz w:val="16"/>
                <w:szCs w:val="16"/>
              </w:rPr>
            </w:pPr>
            <w:r>
              <w:rPr>
                <w:rFonts w:hint="eastAsia"/>
                <w:sz w:val="16"/>
                <w:szCs w:val="16"/>
              </w:rPr>
              <w:t>10kV 交流电力电缆、10kV高压开关柜</w:t>
            </w:r>
          </w:p>
          <w:p w14:paraId="52D88BBE">
            <w:pPr>
              <w:pStyle w:val="25"/>
              <w:ind w:firstLine="0" w:firstLineChars="0"/>
              <w:jc w:val="center"/>
              <w:rPr>
                <w:sz w:val="24"/>
                <w:szCs w:val="24"/>
              </w:rPr>
            </w:pPr>
            <w:r>
              <w:rPr>
                <w:rFonts w:hint="eastAsia"/>
                <w:sz w:val="16"/>
                <w:szCs w:val="16"/>
              </w:rPr>
              <w:t>或10kV油浸式变压器</w:t>
            </w:r>
          </w:p>
        </w:tc>
        <w:tc>
          <w:tcPr>
            <w:tcW w:w="1698" w:type="dxa"/>
            <w:vAlign w:val="center"/>
          </w:tcPr>
          <w:p w14:paraId="5875DFA6">
            <w:pPr>
              <w:pStyle w:val="25"/>
              <w:spacing w:line="240" w:lineRule="exact"/>
              <w:ind w:firstLine="0" w:firstLineChars="0"/>
              <w:jc w:val="center"/>
              <w:rPr>
                <w:szCs w:val="21"/>
              </w:rPr>
            </w:pPr>
            <w:r>
              <w:rPr>
                <w:szCs w:val="21"/>
              </w:rPr>
              <w:t>A</w:t>
            </w:r>
            <w:r>
              <w:rPr>
                <w:szCs w:val="21"/>
                <w:vertAlign w:val="subscript"/>
              </w:rPr>
              <w:t>1</w:t>
            </w:r>
          </w:p>
        </w:tc>
        <w:tc>
          <w:tcPr>
            <w:tcW w:w="1758" w:type="dxa"/>
            <w:vAlign w:val="center"/>
          </w:tcPr>
          <w:p w14:paraId="3D11C529">
            <w:pPr>
              <w:pStyle w:val="25"/>
              <w:spacing w:line="240" w:lineRule="exact"/>
              <w:ind w:firstLine="0" w:firstLineChars="0"/>
              <w:jc w:val="center"/>
              <w:rPr>
                <w:sz w:val="24"/>
                <w:szCs w:val="24"/>
              </w:rPr>
            </w:pPr>
            <w:r>
              <w:rPr>
                <w:sz w:val="24"/>
                <w:szCs w:val="24"/>
              </w:rPr>
              <w:t>y</w:t>
            </w:r>
            <w:r>
              <w:rPr>
                <w:rFonts w:hint="eastAsia"/>
                <w:sz w:val="24"/>
                <w:szCs w:val="24"/>
                <w:vertAlign w:val="subscript"/>
              </w:rPr>
              <w:t>A</w:t>
            </w:r>
            <w:r>
              <w:rPr>
                <w:sz w:val="24"/>
                <w:szCs w:val="24"/>
                <w:vertAlign w:val="subscript"/>
              </w:rPr>
              <w:t>1</w:t>
            </w:r>
          </w:p>
        </w:tc>
      </w:tr>
      <w:tr w14:paraId="2493334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461" w:type="dxa"/>
            <w:vMerge w:val="continue"/>
            <w:vAlign w:val="center"/>
          </w:tcPr>
          <w:p w14:paraId="506FA23A">
            <w:pPr>
              <w:pStyle w:val="25"/>
              <w:ind w:firstLine="0" w:firstLineChars="0"/>
              <w:jc w:val="center"/>
              <w:rPr>
                <w:sz w:val="24"/>
                <w:szCs w:val="24"/>
              </w:rPr>
            </w:pPr>
          </w:p>
        </w:tc>
        <w:tc>
          <w:tcPr>
            <w:tcW w:w="1698" w:type="dxa"/>
            <w:vAlign w:val="center"/>
          </w:tcPr>
          <w:p w14:paraId="65AF5B04">
            <w:pPr>
              <w:pStyle w:val="25"/>
              <w:spacing w:line="240" w:lineRule="exact"/>
              <w:ind w:firstLine="0" w:firstLineChars="0"/>
              <w:jc w:val="center"/>
              <w:rPr>
                <w:szCs w:val="21"/>
              </w:rPr>
            </w:pPr>
            <w:r>
              <w:rPr>
                <w:rFonts w:hint="eastAsia"/>
                <w:szCs w:val="21"/>
              </w:rPr>
              <w:t>A</w:t>
            </w:r>
            <w:r>
              <w:rPr>
                <w:szCs w:val="21"/>
                <w:vertAlign w:val="subscript"/>
              </w:rPr>
              <w:t>2</w:t>
            </w:r>
          </w:p>
        </w:tc>
        <w:tc>
          <w:tcPr>
            <w:tcW w:w="1758" w:type="dxa"/>
            <w:vAlign w:val="center"/>
          </w:tcPr>
          <w:p w14:paraId="1343A164">
            <w:pPr>
              <w:pStyle w:val="25"/>
              <w:spacing w:line="240" w:lineRule="exact"/>
              <w:ind w:firstLine="0" w:firstLineChars="0"/>
              <w:jc w:val="center"/>
              <w:rPr>
                <w:sz w:val="24"/>
                <w:szCs w:val="24"/>
              </w:rPr>
            </w:pPr>
            <w:r>
              <w:rPr>
                <w:sz w:val="24"/>
                <w:szCs w:val="24"/>
              </w:rPr>
              <w:t>y</w:t>
            </w:r>
            <w:r>
              <w:rPr>
                <w:rFonts w:hint="eastAsia"/>
                <w:sz w:val="24"/>
                <w:szCs w:val="24"/>
                <w:vertAlign w:val="subscript"/>
              </w:rPr>
              <w:t>A</w:t>
            </w:r>
            <w:r>
              <w:rPr>
                <w:sz w:val="24"/>
                <w:szCs w:val="24"/>
                <w:vertAlign w:val="subscript"/>
              </w:rPr>
              <w:t>2</w:t>
            </w:r>
          </w:p>
        </w:tc>
      </w:tr>
      <w:tr w14:paraId="3E4B1E9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461" w:type="dxa"/>
            <w:vMerge w:val="continue"/>
            <w:vAlign w:val="center"/>
          </w:tcPr>
          <w:p w14:paraId="3E21E163">
            <w:pPr>
              <w:pStyle w:val="25"/>
              <w:ind w:firstLine="0" w:firstLineChars="0"/>
              <w:jc w:val="center"/>
              <w:rPr>
                <w:sz w:val="24"/>
                <w:szCs w:val="24"/>
              </w:rPr>
            </w:pPr>
          </w:p>
        </w:tc>
        <w:tc>
          <w:tcPr>
            <w:tcW w:w="1698" w:type="dxa"/>
            <w:vAlign w:val="center"/>
          </w:tcPr>
          <w:p w14:paraId="34D06337">
            <w:pPr>
              <w:pStyle w:val="25"/>
              <w:spacing w:line="240" w:lineRule="exact"/>
              <w:ind w:firstLine="0" w:firstLineChars="0"/>
              <w:jc w:val="center"/>
              <w:rPr>
                <w:szCs w:val="21"/>
              </w:rPr>
            </w:pPr>
            <w:r>
              <w:rPr>
                <w:szCs w:val="21"/>
              </w:rPr>
              <w:t>⁞</w:t>
            </w:r>
          </w:p>
        </w:tc>
        <w:tc>
          <w:tcPr>
            <w:tcW w:w="1758" w:type="dxa"/>
            <w:vAlign w:val="center"/>
          </w:tcPr>
          <w:p w14:paraId="397AFD10">
            <w:pPr>
              <w:pStyle w:val="25"/>
              <w:spacing w:line="240" w:lineRule="exact"/>
              <w:ind w:firstLine="0" w:firstLineChars="0"/>
              <w:jc w:val="center"/>
              <w:rPr>
                <w:sz w:val="24"/>
                <w:szCs w:val="24"/>
              </w:rPr>
            </w:pPr>
            <w:r>
              <w:rPr>
                <w:sz w:val="24"/>
                <w:szCs w:val="24"/>
              </w:rPr>
              <w:t>⁞</w:t>
            </w:r>
          </w:p>
        </w:tc>
      </w:tr>
      <w:tr w14:paraId="513AF49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461" w:type="dxa"/>
            <w:vMerge w:val="continue"/>
            <w:vAlign w:val="center"/>
          </w:tcPr>
          <w:p w14:paraId="62E231AB">
            <w:pPr>
              <w:pStyle w:val="25"/>
              <w:ind w:firstLine="0" w:firstLineChars="0"/>
              <w:jc w:val="center"/>
              <w:rPr>
                <w:sz w:val="24"/>
                <w:szCs w:val="24"/>
              </w:rPr>
            </w:pPr>
          </w:p>
        </w:tc>
        <w:tc>
          <w:tcPr>
            <w:tcW w:w="1698" w:type="dxa"/>
            <w:vAlign w:val="center"/>
          </w:tcPr>
          <w:p w14:paraId="1A9855A6">
            <w:pPr>
              <w:pStyle w:val="25"/>
              <w:spacing w:line="240" w:lineRule="exact"/>
              <w:ind w:firstLine="0" w:firstLineChars="0"/>
              <w:jc w:val="center"/>
              <w:rPr>
                <w:szCs w:val="21"/>
              </w:rPr>
            </w:pPr>
            <w:r>
              <w:rPr>
                <w:rFonts w:hint="eastAsia"/>
                <w:szCs w:val="21"/>
              </w:rPr>
              <w:t>A</w:t>
            </w:r>
            <w:r>
              <w:rPr>
                <w:szCs w:val="21"/>
                <w:vertAlign w:val="subscript"/>
              </w:rPr>
              <w:t>n</w:t>
            </w:r>
          </w:p>
        </w:tc>
        <w:tc>
          <w:tcPr>
            <w:tcW w:w="1758" w:type="dxa"/>
            <w:vAlign w:val="center"/>
          </w:tcPr>
          <w:p w14:paraId="611A83B1">
            <w:pPr>
              <w:pStyle w:val="25"/>
              <w:spacing w:line="240" w:lineRule="exact"/>
              <w:ind w:firstLine="0" w:firstLineChars="0"/>
              <w:jc w:val="center"/>
              <w:rPr>
                <w:sz w:val="24"/>
                <w:szCs w:val="24"/>
              </w:rPr>
            </w:pPr>
            <w:r>
              <w:rPr>
                <w:sz w:val="24"/>
                <w:szCs w:val="24"/>
              </w:rPr>
              <w:t>y</w:t>
            </w:r>
            <w:r>
              <w:rPr>
                <w:rFonts w:hint="eastAsia"/>
                <w:sz w:val="24"/>
                <w:szCs w:val="24"/>
                <w:vertAlign w:val="subscript"/>
              </w:rPr>
              <w:t>A</w:t>
            </w:r>
            <w:r>
              <w:rPr>
                <w:sz w:val="24"/>
                <w:szCs w:val="24"/>
                <w:vertAlign w:val="subscript"/>
              </w:rPr>
              <w:t>n</w:t>
            </w:r>
          </w:p>
        </w:tc>
      </w:tr>
    </w:tbl>
    <w:p w14:paraId="5DC63625">
      <w:pPr>
        <w:pStyle w:val="25"/>
        <w:ind w:firstLine="0" w:firstLineChars="0"/>
      </w:pPr>
    </w:p>
    <w:p w14:paraId="18181BDC">
      <w:pPr>
        <w:pStyle w:val="42"/>
        <w:spacing w:before="156" w:after="156"/>
        <w:ind w:left="0"/>
        <w:outlineLvl w:val="9"/>
      </w:pPr>
      <w:r>
        <w:rPr>
          <w:rFonts w:hint="eastAsia"/>
        </w:rPr>
        <w:t>评价分级</w:t>
      </w:r>
    </w:p>
    <w:p w14:paraId="6FF18868">
      <w:pPr>
        <w:pStyle w:val="25"/>
        <w:spacing w:before="156" w:beforeLines="50" w:after="156" w:afterLines="50"/>
        <w:ind w:firstLine="0" w:firstLineChars="0"/>
        <w:outlineLvl w:val="9"/>
        <w:rPr>
          <w:rFonts w:ascii="黑体" w:hAnsi="黑体" w:eastAsia="黑体"/>
        </w:rPr>
      </w:pPr>
      <w:r>
        <w:rPr>
          <w:rFonts w:hint="eastAsia" w:ascii="黑体" w:hAnsi="黑体" w:eastAsia="黑体"/>
        </w:rPr>
        <w:t>5</w:t>
      </w:r>
      <w:r>
        <w:rPr>
          <w:rFonts w:ascii="黑体" w:hAnsi="黑体" w:eastAsia="黑体"/>
        </w:rPr>
        <w:t>.4.1</w:t>
      </w:r>
      <w:r>
        <w:rPr>
          <w:rFonts w:hint="eastAsia" w:ascii="黑体" w:hAnsi="黑体" w:eastAsia="黑体"/>
        </w:rPr>
        <w:t>分级依据</w:t>
      </w:r>
    </w:p>
    <w:p w14:paraId="200AF48B">
      <w:pPr>
        <w:pStyle w:val="25"/>
      </w:pPr>
      <w:r>
        <w:rPr>
          <w:rFonts w:hint="eastAsia"/>
        </w:rPr>
        <w:t>质量评价结果服从正态分布。</w:t>
      </w:r>
    </w:p>
    <w:p w14:paraId="5F544E96">
      <w:pPr>
        <w:pStyle w:val="25"/>
      </w:pPr>
      <w:r>
        <w:rPr>
          <w:rFonts w:hint="eastAsia"/>
        </w:rPr>
        <w:t>根据正态分布中间高，两端低的分布特性进行分级，如图2</w:t>
      </w:r>
      <w:r>
        <w:t>.</w:t>
      </w:r>
      <w:r>
        <w:rPr>
          <w:rFonts w:hint="eastAsia"/>
        </w:rPr>
        <w:t>所示：</w:t>
      </w:r>
    </w:p>
    <w:p w14:paraId="4057C561">
      <w:pPr>
        <w:pStyle w:val="25"/>
        <w:ind w:firstLine="0" w:firstLineChars="0"/>
        <w:jc w:val="center"/>
      </w:pPr>
      <w:r>
        <w:rPr>
          <w:rFonts w:hint="eastAsia"/>
        </w:rPr>
        <w:drawing>
          <wp:inline distT="0" distB="0" distL="0" distR="0">
            <wp:extent cx="2556510" cy="1939290"/>
            <wp:effectExtent l="0" t="0" r="0" b="38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610983" cy="1980380"/>
                    </a:xfrm>
                    <a:prstGeom prst="rect">
                      <a:avLst/>
                    </a:prstGeom>
                    <a:noFill/>
                    <a:ln>
                      <a:noFill/>
                    </a:ln>
                  </pic:spPr>
                </pic:pic>
              </a:graphicData>
            </a:graphic>
          </wp:inline>
        </w:drawing>
      </w:r>
    </w:p>
    <w:p w14:paraId="023C01DE">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图</w:t>
      </w:r>
      <w:r>
        <w:rPr>
          <w:rFonts w:ascii="黑体" w:hAnsi="黑体" w:eastAsia="黑体"/>
          <w:sz w:val="21"/>
          <w:szCs w:val="21"/>
        </w:rPr>
        <w:t>2.</w:t>
      </w:r>
      <w:r>
        <w:rPr>
          <w:rFonts w:hint="eastAsia" w:ascii="黑体" w:hAnsi="黑体" w:eastAsia="黑体"/>
          <w:sz w:val="21"/>
          <w:szCs w:val="21"/>
        </w:rPr>
        <w:t>质量评价结果分布</w:t>
      </w:r>
    </w:p>
    <w:p w14:paraId="53205D24">
      <w:pPr>
        <w:pStyle w:val="25"/>
        <w:spacing w:before="156" w:beforeLines="50" w:after="156" w:afterLines="50"/>
        <w:ind w:firstLine="0" w:firstLineChars="0"/>
        <w:outlineLvl w:val="9"/>
        <w:rPr>
          <w:rFonts w:ascii="黑体" w:hAnsi="黑体" w:eastAsia="黑体"/>
        </w:rPr>
      </w:pPr>
      <w:r>
        <w:rPr>
          <w:rFonts w:hint="eastAsia" w:ascii="黑体" w:hAnsi="黑体" w:eastAsia="黑体"/>
        </w:rPr>
        <w:t>5</w:t>
      </w:r>
      <w:r>
        <w:rPr>
          <w:rFonts w:ascii="黑体" w:hAnsi="黑体" w:eastAsia="黑体"/>
        </w:rPr>
        <w:t xml:space="preserve">.4.2 </w:t>
      </w:r>
      <w:r>
        <w:rPr>
          <w:rFonts w:hint="eastAsia" w:ascii="黑体" w:hAnsi="黑体" w:eastAsia="黑体"/>
        </w:rPr>
        <w:t>分级原则</w:t>
      </w:r>
    </w:p>
    <w:p w14:paraId="1BA21077">
      <w:pPr>
        <w:pStyle w:val="25"/>
      </w:pPr>
      <w:r>
        <w:t>1</w:t>
      </w:r>
      <w:r>
        <w:rPr>
          <w:rFonts w:hint="eastAsia"/>
        </w:rPr>
        <w:t>）客观反映数据的分布特征，以质量评价结果的集群性作为分级数的重要依据。</w:t>
      </w:r>
    </w:p>
    <w:p w14:paraId="335E5C4E">
      <w:pPr>
        <w:pStyle w:val="25"/>
      </w:pPr>
      <w:r>
        <w:rPr>
          <w:rFonts w:hint="eastAsia"/>
        </w:rPr>
        <w:t>2）分级界限应该在质量评价结果变化显著特征上，使各级内部差异尽可能的小，等级之间的差异尽可能大。</w:t>
      </w:r>
    </w:p>
    <w:p w14:paraId="4607E338">
      <w:pPr>
        <w:pStyle w:val="25"/>
      </w:pPr>
      <w:r>
        <w:rPr>
          <w:rFonts w:hint="eastAsia"/>
        </w:rPr>
        <w:t>3）评价分级的结果：一般是中间级别包含的单元多，两端级别包含单元较少。</w:t>
      </w:r>
    </w:p>
    <w:p w14:paraId="37A4AEBD">
      <w:pPr>
        <w:pStyle w:val="25"/>
        <w:spacing w:before="156" w:beforeLines="50" w:after="156" w:afterLines="50"/>
        <w:ind w:firstLine="0" w:firstLineChars="0"/>
        <w:outlineLvl w:val="9"/>
        <w:rPr>
          <w:rFonts w:ascii="黑体" w:hAnsi="黑体" w:eastAsia="黑体"/>
        </w:rPr>
      </w:pPr>
      <w:r>
        <w:rPr>
          <w:rFonts w:hint="eastAsia" w:ascii="黑体" w:hAnsi="黑体" w:eastAsia="黑体"/>
        </w:rPr>
        <w:t>5</w:t>
      </w:r>
      <w:r>
        <w:rPr>
          <w:rFonts w:ascii="黑体" w:hAnsi="黑体" w:eastAsia="黑体"/>
        </w:rPr>
        <w:t>.4.3</w:t>
      </w:r>
      <w:r>
        <w:rPr>
          <w:rFonts w:hint="eastAsia" w:ascii="黑体" w:hAnsi="黑体" w:eastAsia="黑体"/>
        </w:rPr>
        <w:t>分级方法</w:t>
      </w:r>
    </w:p>
    <w:p w14:paraId="43D068DE">
      <w:pPr>
        <w:pStyle w:val="25"/>
      </w:pPr>
      <w:r>
        <w:rPr>
          <w:rFonts w:hint="eastAsia"/>
        </w:rPr>
        <w:t>从</w:t>
      </w:r>
      <w:bookmarkStart w:id="71" w:name="_Hlk88211979"/>
      <w:r>
        <w:rPr>
          <w:rFonts w:hint="eastAsia"/>
        </w:rPr>
        <w:t>质量评价结果</w:t>
      </w:r>
      <w:bookmarkEnd w:id="71"/>
      <w:r>
        <w:rPr>
          <w:rFonts w:hint="eastAsia"/>
        </w:rPr>
        <w:t>的数据的特征，采用以下分级方法：</w:t>
      </w:r>
    </w:p>
    <w:p w14:paraId="2D53EF2E">
      <w:pPr>
        <w:pStyle w:val="25"/>
      </w:pPr>
      <w:r>
        <w:rPr>
          <w:rFonts w:hint="eastAsia"/>
        </w:rPr>
        <w:t>按质量评价结果绝对数据指标的分级，考虑质量评价结果数据类型及其分布特征，结合各级数据单元的分布数量进行分级的方法，即按分值进行分级。</w:t>
      </w:r>
    </w:p>
    <w:p w14:paraId="080B8C15">
      <w:pPr>
        <w:pStyle w:val="25"/>
        <w:spacing w:before="156" w:beforeLines="50" w:after="156" w:afterLines="50"/>
        <w:ind w:firstLine="0" w:firstLineChars="0"/>
        <w:outlineLvl w:val="9"/>
        <w:rPr>
          <w:rFonts w:ascii="黑体" w:hAnsi="黑体" w:eastAsia="黑体"/>
        </w:rPr>
      </w:pPr>
      <w:r>
        <w:rPr>
          <w:rFonts w:hint="eastAsia" w:ascii="黑体" w:hAnsi="黑体" w:eastAsia="黑体"/>
        </w:rPr>
        <w:t>5</w:t>
      </w:r>
      <w:r>
        <w:rPr>
          <w:rFonts w:ascii="黑体" w:hAnsi="黑体" w:eastAsia="黑体"/>
        </w:rPr>
        <w:t>.4.4</w:t>
      </w:r>
      <w:r>
        <w:rPr>
          <w:rFonts w:hint="eastAsia" w:ascii="黑体" w:hAnsi="黑体" w:eastAsia="黑体"/>
        </w:rPr>
        <w:t>分级结果</w:t>
      </w:r>
    </w:p>
    <w:p w14:paraId="3E09C956">
      <w:pPr>
        <w:pStyle w:val="25"/>
      </w:pPr>
      <w:r>
        <w:rPr>
          <w:rFonts w:hint="eastAsia"/>
        </w:rPr>
        <w:t>根据正态分布特殊性，把评价结果分成优、良和差三个等级。</w:t>
      </w:r>
    </w:p>
    <w:p w14:paraId="187DBB91">
      <w:pPr>
        <w:pStyle w:val="25"/>
      </w:pPr>
      <w:r>
        <w:rPr>
          <w:rFonts w:hint="eastAsia"/>
        </w:rPr>
        <w:t>在分级时，仅考虑6</w:t>
      </w:r>
      <w:r>
        <w:t>0</w:t>
      </w:r>
      <w:r>
        <w:rPr>
          <w:rFonts w:hint="eastAsia"/>
        </w:rPr>
        <w:t>-</w:t>
      </w:r>
      <w:r>
        <w:t>100</w:t>
      </w:r>
      <w:r>
        <w:rPr>
          <w:rFonts w:hint="eastAsia"/>
        </w:rPr>
        <w:t>的分值区间，低于6</w:t>
      </w:r>
      <w:r>
        <w:t>0</w:t>
      </w:r>
      <w:r>
        <w:rPr>
          <w:rFonts w:hint="eastAsia"/>
        </w:rPr>
        <w:t>分的评价结果表示该供应商设备存在严重的质量问题，启动质量预警，供应商采取整改措施，暂不安排抽检。</w:t>
      </w:r>
    </w:p>
    <w:p w14:paraId="2A915C8E">
      <w:pPr>
        <w:pStyle w:val="25"/>
      </w:pPr>
      <w:r>
        <w:rPr>
          <w:rFonts w:hint="eastAsia"/>
        </w:rPr>
        <w:t>对于分布于6</w:t>
      </w:r>
      <w:r>
        <w:t>0</w:t>
      </w:r>
      <w:r>
        <w:rPr>
          <w:rFonts w:hint="eastAsia"/>
        </w:rPr>
        <w:t>-</w:t>
      </w:r>
      <w:r>
        <w:t>100</w:t>
      </w:r>
      <w:r>
        <w:rPr>
          <w:rFonts w:hint="eastAsia"/>
        </w:rPr>
        <w:t>分值区间的评价总分，按正态分布特性进行分级，在实施到货抽检时将按不同等级采用差异化的抽检方案，如表</w:t>
      </w:r>
      <w:r>
        <w:t>5.</w:t>
      </w:r>
      <w:r>
        <w:rPr>
          <w:rFonts w:hint="eastAsia"/>
        </w:rPr>
        <w:t>所示：</w:t>
      </w:r>
    </w:p>
    <w:p w14:paraId="259873E0">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表</w:t>
      </w:r>
      <w:r>
        <w:rPr>
          <w:rFonts w:ascii="黑体" w:hAnsi="黑体" w:eastAsia="黑体"/>
          <w:szCs w:val="21"/>
        </w:rPr>
        <w:t>5</w:t>
      </w:r>
      <w:r>
        <w:rPr>
          <w:rFonts w:ascii="黑体" w:hAnsi="黑体" w:eastAsia="黑体"/>
          <w:sz w:val="21"/>
          <w:szCs w:val="21"/>
        </w:rPr>
        <w:t>.</w:t>
      </w:r>
      <w:r>
        <w:rPr>
          <w:rFonts w:hint="eastAsia" w:ascii="黑体" w:hAnsi="黑体" w:eastAsia="黑体"/>
          <w:sz w:val="21"/>
          <w:szCs w:val="21"/>
        </w:rPr>
        <w:t>评价分级</w:t>
      </w:r>
    </w:p>
    <w:tbl>
      <w:tblPr>
        <w:tblStyle w:val="35"/>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758"/>
        <w:gridCol w:w="1808"/>
        <w:gridCol w:w="1364"/>
        <w:gridCol w:w="1751"/>
        <w:gridCol w:w="1646"/>
      </w:tblGrid>
      <w:tr w14:paraId="2D9E73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758" w:type="dxa"/>
          </w:tcPr>
          <w:p w14:paraId="64A22C5E">
            <w:pPr>
              <w:pStyle w:val="25"/>
              <w:ind w:firstLine="0" w:firstLineChars="0"/>
              <w:jc w:val="center"/>
              <w:rPr>
                <w:sz w:val="16"/>
                <w:szCs w:val="16"/>
              </w:rPr>
            </w:pPr>
            <w:r>
              <w:rPr>
                <w:rFonts w:hint="eastAsia"/>
                <w:sz w:val="16"/>
                <w:szCs w:val="16"/>
              </w:rPr>
              <w:t>序号</w:t>
            </w:r>
          </w:p>
        </w:tc>
        <w:tc>
          <w:tcPr>
            <w:tcW w:w="1808" w:type="dxa"/>
          </w:tcPr>
          <w:p w14:paraId="3C8D03BE">
            <w:pPr>
              <w:pStyle w:val="25"/>
              <w:ind w:firstLine="0" w:firstLineChars="0"/>
              <w:jc w:val="center"/>
              <w:rPr>
                <w:sz w:val="16"/>
                <w:szCs w:val="16"/>
              </w:rPr>
            </w:pPr>
            <w:r>
              <w:rPr>
                <w:rFonts w:hint="eastAsia"/>
                <w:sz w:val="16"/>
                <w:szCs w:val="16"/>
              </w:rPr>
              <w:t>分值区间</w:t>
            </w:r>
          </w:p>
        </w:tc>
        <w:tc>
          <w:tcPr>
            <w:tcW w:w="1364" w:type="dxa"/>
          </w:tcPr>
          <w:p w14:paraId="08D55197">
            <w:pPr>
              <w:pStyle w:val="25"/>
              <w:ind w:firstLine="0" w:firstLineChars="0"/>
              <w:jc w:val="center"/>
              <w:rPr>
                <w:sz w:val="16"/>
                <w:szCs w:val="16"/>
              </w:rPr>
            </w:pPr>
            <w:r>
              <w:rPr>
                <w:rFonts w:hint="eastAsia"/>
                <w:sz w:val="16"/>
                <w:szCs w:val="16"/>
              </w:rPr>
              <w:t>分布概率</w:t>
            </w:r>
          </w:p>
        </w:tc>
        <w:tc>
          <w:tcPr>
            <w:tcW w:w="1751" w:type="dxa"/>
          </w:tcPr>
          <w:p w14:paraId="7AA7BEDB">
            <w:pPr>
              <w:pStyle w:val="25"/>
              <w:ind w:firstLine="0" w:firstLineChars="0"/>
              <w:jc w:val="center"/>
              <w:rPr>
                <w:sz w:val="16"/>
                <w:szCs w:val="16"/>
              </w:rPr>
            </w:pPr>
            <w:r>
              <w:rPr>
                <w:rFonts w:hint="eastAsia"/>
                <w:sz w:val="16"/>
                <w:szCs w:val="16"/>
              </w:rPr>
              <w:t>评价等级</w:t>
            </w:r>
          </w:p>
        </w:tc>
        <w:tc>
          <w:tcPr>
            <w:tcW w:w="1646" w:type="dxa"/>
          </w:tcPr>
          <w:p w14:paraId="1051CFD2">
            <w:pPr>
              <w:pStyle w:val="25"/>
              <w:ind w:firstLine="0" w:firstLineChars="0"/>
              <w:jc w:val="center"/>
              <w:rPr>
                <w:color w:val="FF0000"/>
                <w:sz w:val="16"/>
                <w:szCs w:val="16"/>
              </w:rPr>
            </w:pPr>
            <w:r>
              <w:rPr>
                <w:rFonts w:hint="eastAsia"/>
                <w:sz w:val="16"/>
                <w:szCs w:val="16"/>
              </w:rPr>
              <w:t>抽检策略</w:t>
            </w:r>
          </w:p>
        </w:tc>
      </w:tr>
      <w:tr w14:paraId="755333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758" w:type="dxa"/>
          </w:tcPr>
          <w:p w14:paraId="32B9F371">
            <w:pPr>
              <w:pStyle w:val="25"/>
              <w:ind w:firstLine="0" w:firstLineChars="0"/>
              <w:jc w:val="center"/>
              <w:rPr>
                <w:sz w:val="16"/>
                <w:szCs w:val="16"/>
              </w:rPr>
            </w:pPr>
            <w:r>
              <w:rPr>
                <w:rFonts w:hint="eastAsia"/>
                <w:sz w:val="16"/>
                <w:szCs w:val="16"/>
              </w:rPr>
              <w:t>1</w:t>
            </w:r>
          </w:p>
        </w:tc>
        <w:tc>
          <w:tcPr>
            <w:tcW w:w="1808" w:type="dxa"/>
          </w:tcPr>
          <w:p w14:paraId="22BCFECF">
            <w:pPr>
              <w:pStyle w:val="25"/>
              <w:ind w:firstLine="0" w:firstLineChars="0"/>
              <w:jc w:val="center"/>
              <w:rPr>
                <w:sz w:val="16"/>
                <w:szCs w:val="16"/>
              </w:rPr>
            </w:pPr>
            <w:r>
              <w:rPr>
                <w:rFonts w:hint="eastAsia"/>
                <w:sz w:val="16"/>
                <w:szCs w:val="16"/>
              </w:rPr>
              <w:t>9</w:t>
            </w:r>
            <w:r>
              <w:rPr>
                <w:sz w:val="16"/>
                <w:szCs w:val="16"/>
              </w:rPr>
              <w:t>0</w:t>
            </w:r>
            <w:r>
              <w:rPr>
                <w:rFonts w:hint="eastAsia"/>
                <w:sz w:val="16"/>
                <w:szCs w:val="16"/>
              </w:rPr>
              <w:t>-</w:t>
            </w:r>
            <w:r>
              <w:rPr>
                <w:sz w:val="16"/>
                <w:szCs w:val="16"/>
              </w:rPr>
              <w:t>100</w:t>
            </w:r>
          </w:p>
        </w:tc>
        <w:tc>
          <w:tcPr>
            <w:tcW w:w="1364" w:type="dxa"/>
          </w:tcPr>
          <w:p w14:paraId="47880CFC">
            <w:pPr>
              <w:pStyle w:val="25"/>
              <w:ind w:firstLine="0" w:firstLineChars="0"/>
              <w:jc w:val="center"/>
              <w:rPr>
                <w:sz w:val="16"/>
                <w:szCs w:val="16"/>
              </w:rPr>
            </w:pPr>
            <w:r>
              <w:rPr>
                <w:rFonts w:hint="eastAsia"/>
                <w:sz w:val="16"/>
                <w:szCs w:val="16"/>
              </w:rPr>
              <w:t>小</w:t>
            </w:r>
          </w:p>
        </w:tc>
        <w:tc>
          <w:tcPr>
            <w:tcW w:w="1751" w:type="dxa"/>
          </w:tcPr>
          <w:p w14:paraId="49670BD1">
            <w:pPr>
              <w:pStyle w:val="25"/>
              <w:ind w:firstLine="0" w:firstLineChars="0"/>
              <w:jc w:val="center"/>
              <w:rPr>
                <w:sz w:val="16"/>
                <w:szCs w:val="16"/>
              </w:rPr>
            </w:pPr>
            <w:r>
              <w:rPr>
                <w:rFonts w:hint="eastAsia"/>
                <w:sz w:val="16"/>
                <w:szCs w:val="16"/>
              </w:rPr>
              <w:t>优</w:t>
            </w:r>
          </w:p>
        </w:tc>
        <w:tc>
          <w:tcPr>
            <w:tcW w:w="1646" w:type="dxa"/>
          </w:tcPr>
          <w:p w14:paraId="113D3CD3">
            <w:pPr>
              <w:pStyle w:val="25"/>
              <w:ind w:firstLine="0" w:firstLineChars="0"/>
              <w:jc w:val="center"/>
              <w:rPr>
                <w:sz w:val="16"/>
                <w:szCs w:val="16"/>
              </w:rPr>
            </w:pPr>
            <w:r>
              <w:rPr>
                <w:rFonts w:hint="eastAsia"/>
                <w:sz w:val="16"/>
                <w:szCs w:val="16"/>
              </w:rPr>
              <w:t>宽松</w:t>
            </w:r>
          </w:p>
        </w:tc>
      </w:tr>
      <w:tr w14:paraId="23528B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758" w:type="dxa"/>
          </w:tcPr>
          <w:p w14:paraId="13F3846B">
            <w:pPr>
              <w:pStyle w:val="25"/>
              <w:ind w:firstLine="0" w:firstLineChars="0"/>
              <w:jc w:val="center"/>
              <w:rPr>
                <w:sz w:val="16"/>
                <w:szCs w:val="16"/>
              </w:rPr>
            </w:pPr>
            <w:r>
              <w:rPr>
                <w:rFonts w:hint="eastAsia"/>
                <w:sz w:val="16"/>
                <w:szCs w:val="16"/>
              </w:rPr>
              <w:t>2</w:t>
            </w:r>
          </w:p>
        </w:tc>
        <w:tc>
          <w:tcPr>
            <w:tcW w:w="1808" w:type="dxa"/>
          </w:tcPr>
          <w:p w14:paraId="002BB273">
            <w:pPr>
              <w:pStyle w:val="25"/>
              <w:ind w:firstLine="0" w:firstLineChars="0"/>
              <w:jc w:val="center"/>
              <w:rPr>
                <w:sz w:val="16"/>
                <w:szCs w:val="16"/>
              </w:rPr>
            </w:pPr>
            <w:r>
              <w:rPr>
                <w:rFonts w:hint="eastAsia"/>
                <w:sz w:val="16"/>
                <w:szCs w:val="16"/>
              </w:rPr>
              <w:t>7</w:t>
            </w:r>
            <w:r>
              <w:rPr>
                <w:sz w:val="16"/>
                <w:szCs w:val="16"/>
              </w:rPr>
              <w:t>1</w:t>
            </w:r>
            <w:r>
              <w:rPr>
                <w:rFonts w:hint="eastAsia"/>
                <w:sz w:val="16"/>
                <w:szCs w:val="16"/>
              </w:rPr>
              <w:t>-</w:t>
            </w:r>
            <w:r>
              <w:rPr>
                <w:sz w:val="16"/>
                <w:szCs w:val="16"/>
              </w:rPr>
              <w:t>89</w:t>
            </w:r>
          </w:p>
        </w:tc>
        <w:tc>
          <w:tcPr>
            <w:tcW w:w="1364" w:type="dxa"/>
          </w:tcPr>
          <w:p w14:paraId="27699462">
            <w:pPr>
              <w:pStyle w:val="25"/>
              <w:ind w:firstLine="0" w:firstLineChars="0"/>
              <w:jc w:val="center"/>
              <w:rPr>
                <w:sz w:val="16"/>
                <w:szCs w:val="16"/>
              </w:rPr>
            </w:pPr>
            <w:r>
              <w:rPr>
                <w:rFonts w:hint="eastAsia"/>
                <w:sz w:val="16"/>
                <w:szCs w:val="16"/>
              </w:rPr>
              <w:t>中间</w:t>
            </w:r>
          </w:p>
        </w:tc>
        <w:tc>
          <w:tcPr>
            <w:tcW w:w="1751" w:type="dxa"/>
          </w:tcPr>
          <w:p w14:paraId="186E4CB2">
            <w:pPr>
              <w:pStyle w:val="25"/>
              <w:ind w:firstLine="0" w:firstLineChars="0"/>
              <w:jc w:val="center"/>
              <w:rPr>
                <w:sz w:val="16"/>
                <w:szCs w:val="16"/>
              </w:rPr>
            </w:pPr>
            <w:r>
              <w:rPr>
                <w:rFonts w:hint="eastAsia"/>
                <w:sz w:val="16"/>
                <w:szCs w:val="16"/>
              </w:rPr>
              <w:t>良</w:t>
            </w:r>
          </w:p>
        </w:tc>
        <w:tc>
          <w:tcPr>
            <w:tcW w:w="1646" w:type="dxa"/>
          </w:tcPr>
          <w:p w14:paraId="5A810967">
            <w:pPr>
              <w:pStyle w:val="25"/>
              <w:ind w:firstLine="0" w:firstLineChars="0"/>
              <w:jc w:val="center"/>
              <w:rPr>
                <w:sz w:val="16"/>
                <w:szCs w:val="16"/>
              </w:rPr>
            </w:pPr>
            <w:r>
              <w:rPr>
                <w:rFonts w:hint="eastAsia"/>
                <w:sz w:val="16"/>
                <w:szCs w:val="16"/>
              </w:rPr>
              <w:t>常规</w:t>
            </w:r>
          </w:p>
        </w:tc>
      </w:tr>
      <w:tr w14:paraId="502D67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758" w:type="dxa"/>
          </w:tcPr>
          <w:p w14:paraId="30CC4FCA">
            <w:pPr>
              <w:pStyle w:val="25"/>
              <w:ind w:firstLine="0" w:firstLineChars="0"/>
              <w:jc w:val="center"/>
              <w:rPr>
                <w:sz w:val="16"/>
                <w:szCs w:val="16"/>
              </w:rPr>
            </w:pPr>
            <w:r>
              <w:rPr>
                <w:rFonts w:hint="eastAsia"/>
                <w:sz w:val="16"/>
                <w:szCs w:val="16"/>
              </w:rPr>
              <w:t>3</w:t>
            </w:r>
          </w:p>
        </w:tc>
        <w:tc>
          <w:tcPr>
            <w:tcW w:w="1808" w:type="dxa"/>
          </w:tcPr>
          <w:p w14:paraId="291DBC32">
            <w:pPr>
              <w:pStyle w:val="25"/>
              <w:ind w:firstLine="0" w:firstLineChars="0"/>
              <w:jc w:val="center"/>
              <w:rPr>
                <w:sz w:val="16"/>
                <w:szCs w:val="16"/>
              </w:rPr>
            </w:pPr>
            <w:r>
              <w:rPr>
                <w:rFonts w:hint="eastAsia"/>
                <w:sz w:val="16"/>
                <w:szCs w:val="16"/>
              </w:rPr>
              <w:t>6</w:t>
            </w:r>
            <w:r>
              <w:rPr>
                <w:sz w:val="16"/>
                <w:szCs w:val="16"/>
              </w:rPr>
              <w:t>0</w:t>
            </w:r>
            <w:r>
              <w:rPr>
                <w:rFonts w:hint="eastAsia"/>
                <w:sz w:val="16"/>
                <w:szCs w:val="16"/>
              </w:rPr>
              <w:t>-</w:t>
            </w:r>
            <w:r>
              <w:rPr>
                <w:sz w:val="16"/>
                <w:szCs w:val="16"/>
              </w:rPr>
              <w:t>70</w:t>
            </w:r>
          </w:p>
        </w:tc>
        <w:tc>
          <w:tcPr>
            <w:tcW w:w="1364" w:type="dxa"/>
          </w:tcPr>
          <w:p w14:paraId="74C98C66">
            <w:pPr>
              <w:pStyle w:val="25"/>
              <w:ind w:firstLine="0" w:firstLineChars="0"/>
              <w:jc w:val="center"/>
              <w:rPr>
                <w:sz w:val="16"/>
                <w:szCs w:val="16"/>
              </w:rPr>
            </w:pPr>
            <w:r>
              <w:rPr>
                <w:rFonts w:hint="eastAsia"/>
                <w:sz w:val="16"/>
                <w:szCs w:val="16"/>
              </w:rPr>
              <w:t>小</w:t>
            </w:r>
          </w:p>
        </w:tc>
        <w:tc>
          <w:tcPr>
            <w:tcW w:w="1751" w:type="dxa"/>
          </w:tcPr>
          <w:p w14:paraId="731C14C5">
            <w:pPr>
              <w:pStyle w:val="25"/>
              <w:ind w:firstLine="0" w:firstLineChars="0"/>
              <w:jc w:val="center"/>
              <w:rPr>
                <w:sz w:val="16"/>
                <w:szCs w:val="16"/>
              </w:rPr>
            </w:pPr>
            <w:r>
              <w:rPr>
                <w:rFonts w:hint="eastAsia"/>
                <w:sz w:val="16"/>
                <w:szCs w:val="16"/>
              </w:rPr>
              <w:t>差</w:t>
            </w:r>
          </w:p>
        </w:tc>
        <w:tc>
          <w:tcPr>
            <w:tcW w:w="1646" w:type="dxa"/>
          </w:tcPr>
          <w:p w14:paraId="1755C32E">
            <w:pPr>
              <w:pStyle w:val="25"/>
              <w:ind w:firstLine="0" w:firstLineChars="0"/>
              <w:jc w:val="center"/>
              <w:rPr>
                <w:sz w:val="16"/>
                <w:szCs w:val="16"/>
              </w:rPr>
            </w:pPr>
            <w:r>
              <w:rPr>
                <w:rFonts w:hint="eastAsia"/>
                <w:sz w:val="16"/>
                <w:szCs w:val="16"/>
              </w:rPr>
              <w:t>加严</w:t>
            </w:r>
          </w:p>
        </w:tc>
      </w:tr>
    </w:tbl>
    <w:p w14:paraId="78EFE30A">
      <w:pPr>
        <w:pStyle w:val="25"/>
        <w:spacing w:before="156" w:beforeLines="50" w:after="156" w:afterLines="50"/>
        <w:ind w:firstLine="0" w:firstLineChars="0"/>
        <w:outlineLvl w:val="9"/>
        <w:rPr>
          <w:rFonts w:ascii="黑体" w:hAnsi="黑体" w:eastAsia="黑体"/>
        </w:rPr>
      </w:pPr>
      <w:r>
        <w:rPr>
          <w:rFonts w:hint="eastAsia" w:ascii="黑体" w:hAnsi="黑体" w:eastAsia="黑体"/>
        </w:rPr>
        <w:t>5</w:t>
      </w:r>
      <w:r>
        <w:rPr>
          <w:rFonts w:ascii="黑体" w:hAnsi="黑体" w:eastAsia="黑体"/>
        </w:rPr>
        <w:t>.4.5</w:t>
      </w:r>
      <w:r>
        <w:rPr>
          <w:rFonts w:hint="eastAsia" w:ascii="黑体" w:hAnsi="黑体" w:eastAsia="黑体"/>
        </w:rPr>
        <w:t>质量评价信息库</w:t>
      </w:r>
    </w:p>
    <w:p w14:paraId="25E5EC7F">
      <w:pPr>
        <w:pStyle w:val="25"/>
      </w:pPr>
      <w:r>
        <w:rPr>
          <w:rFonts w:hint="eastAsia"/>
        </w:rPr>
        <w:t>通过质量评价，每个物资品类所有供应商的设备质量评价结果按物资分类录入系统，建立质量评价信息库，应用于差异化抽检。</w:t>
      </w:r>
    </w:p>
    <w:p w14:paraId="00AE9357">
      <w:pPr>
        <w:pStyle w:val="25"/>
      </w:pPr>
      <w:r>
        <w:rPr>
          <w:rFonts w:hint="eastAsia"/>
        </w:rPr>
        <w:t>质量评价信息库内容包括：物资品类、供应商信息、设备型号规格、评价分值、评价等级、评价日期、信息库管理员等。</w:t>
      </w:r>
    </w:p>
    <w:p w14:paraId="445723DB">
      <w:pPr>
        <w:pStyle w:val="25"/>
      </w:pPr>
      <w:r>
        <w:rPr>
          <w:rFonts w:hint="eastAsia"/>
        </w:rPr>
        <w:t>信息库结构如表</w:t>
      </w:r>
      <w:r>
        <w:t>6.</w:t>
      </w:r>
      <w:r>
        <w:rPr>
          <w:rFonts w:hint="eastAsia"/>
        </w:rPr>
        <w:t>所示：</w:t>
      </w:r>
    </w:p>
    <w:p w14:paraId="5E076BB0">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表</w:t>
      </w:r>
      <w:r>
        <w:rPr>
          <w:rFonts w:ascii="黑体" w:hAnsi="黑体" w:eastAsia="黑体"/>
          <w:szCs w:val="21"/>
        </w:rPr>
        <w:t>6</w:t>
      </w:r>
      <w:r>
        <w:rPr>
          <w:rFonts w:ascii="黑体" w:hAnsi="黑体" w:eastAsia="黑体"/>
          <w:sz w:val="21"/>
          <w:szCs w:val="21"/>
        </w:rPr>
        <w:t>.</w:t>
      </w:r>
      <w:r>
        <w:rPr>
          <w:rFonts w:hint="eastAsia" w:ascii="黑体" w:hAnsi="黑体" w:eastAsia="黑体"/>
          <w:sz w:val="21"/>
          <w:szCs w:val="21"/>
        </w:rPr>
        <w:t>信息库结构</w:t>
      </w:r>
    </w:p>
    <w:tbl>
      <w:tblPr>
        <w:tblStyle w:val="35"/>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750"/>
        <w:gridCol w:w="1059"/>
        <w:gridCol w:w="1134"/>
        <w:gridCol w:w="1276"/>
        <w:gridCol w:w="851"/>
        <w:gridCol w:w="850"/>
        <w:gridCol w:w="1134"/>
        <w:gridCol w:w="1382"/>
      </w:tblGrid>
      <w:tr w14:paraId="68D2533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28" w:hRule="atLeast"/>
          <w:jc w:val="center"/>
        </w:trPr>
        <w:tc>
          <w:tcPr>
            <w:tcW w:w="750" w:type="dxa"/>
            <w:vAlign w:val="center"/>
          </w:tcPr>
          <w:p w14:paraId="5DBB3027">
            <w:pPr>
              <w:pStyle w:val="25"/>
              <w:spacing w:line="240" w:lineRule="exact"/>
              <w:ind w:firstLine="0" w:firstLineChars="0"/>
              <w:jc w:val="center"/>
              <w:rPr>
                <w:sz w:val="16"/>
                <w:szCs w:val="16"/>
              </w:rPr>
            </w:pPr>
            <w:r>
              <w:rPr>
                <w:rFonts w:hint="eastAsia"/>
                <w:sz w:val="16"/>
                <w:szCs w:val="16"/>
              </w:rPr>
              <w:t>序号</w:t>
            </w:r>
          </w:p>
        </w:tc>
        <w:tc>
          <w:tcPr>
            <w:tcW w:w="1059" w:type="dxa"/>
            <w:vAlign w:val="center"/>
          </w:tcPr>
          <w:p w14:paraId="7133339D">
            <w:pPr>
              <w:pStyle w:val="25"/>
              <w:spacing w:line="240" w:lineRule="exact"/>
              <w:ind w:firstLine="0" w:firstLineChars="0"/>
              <w:jc w:val="center"/>
              <w:rPr>
                <w:sz w:val="16"/>
                <w:szCs w:val="16"/>
              </w:rPr>
            </w:pPr>
            <w:r>
              <w:rPr>
                <w:rFonts w:hint="eastAsia"/>
                <w:sz w:val="16"/>
                <w:szCs w:val="16"/>
              </w:rPr>
              <w:t>物资</w:t>
            </w:r>
          </w:p>
          <w:p w14:paraId="544FFA02">
            <w:pPr>
              <w:pStyle w:val="25"/>
              <w:spacing w:line="240" w:lineRule="exact"/>
              <w:ind w:firstLine="0" w:firstLineChars="0"/>
              <w:jc w:val="center"/>
              <w:rPr>
                <w:sz w:val="16"/>
                <w:szCs w:val="16"/>
              </w:rPr>
            </w:pPr>
            <w:r>
              <w:rPr>
                <w:rFonts w:hint="eastAsia"/>
                <w:sz w:val="16"/>
                <w:szCs w:val="16"/>
              </w:rPr>
              <w:t>品类</w:t>
            </w:r>
          </w:p>
        </w:tc>
        <w:tc>
          <w:tcPr>
            <w:tcW w:w="1134" w:type="dxa"/>
            <w:vAlign w:val="center"/>
          </w:tcPr>
          <w:p w14:paraId="1B36EED4">
            <w:pPr>
              <w:pStyle w:val="25"/>
              <w:spacing w:line="240" w:lineRule="exact"/>
              <w:ind w:firstLine="0" w:firstLineChars="0"/>
              <w:jc w:val="center"/>
              <w:rPr>
                <w:sz w:val="16"/>
                <w:szCs w:val="16"/>
              </w:rPr>
            </w:pPr>
            <w:r>
              <w:rPr>
                <w:rFonts w:hint="eastAsia"/>
                <w:sz w:val="16"/>
                <w:szCs w:val="16"/>
              </w:rPr>
              <w:t>供应商</w:t>
            </w:r>
          </w:p>
          <w:p w14:paraId="2574F529">
            <w:pPr>
              <w:pStyle w:val="25"/>
              <w:spacing w:line="240" w:lineRule="exact"/>
              <w:ind w:firstLine="0" w:firstLineChars="0"/>
              <w:jc w:val="center"/>
              <w:rPr>
                <w:sz w:val="16"/>
                <w:szCs w:val="16"/>
              </w:rPr>
            </w:pPr>
            <w:r>
              <w:rPr>
                <w:rFonts w:hint="eastAsia"/>
                <w:sz w:val="16"/>
                <w:szCs w:val="16"/>
              </w:rPr>
              <w:t>信息</w:t>
            </w:r>
          </w:p>
        </w:tc>
        <w:tc>
          <w:tcPr>
            <w:tcW w:w="1276" w:type="dxa"/>
            <w:vAlign w:val="center"/>
          </w:tcPr>
          <w:p w14:paraId="12EDFDF0">
            <w:pPr>
              <w:pStyle w:val="25"/>
              <w:spacing w:line="240" w:lineRule="exact"/>
              <w:ind w:firstLine="0" w:firstLineChars="0"/>
              <w:jc w:val="center"/>
              <w:rPr>
                <w:sz w:val="16"/>
                <w:szCs w:val="16"/>
              </w:rPr>
            </w:pPr>
            <w:r>
              <w:rPr>
                <w:rFonts w:hint="eastAsia"/>
                <w:sz w:val="16"/>
                <w:szCs w:val="16"/>
              </w:rPr>
              <w:t>设备型号</w:t>
            </w:r>
          </w:p>
          <w:p w14:paraId="4F33A412">
            <w:pPr>
              <w:pStyle w:val="25"/>
              <w:spacing w:line="240" w:lineRule="exact"/>
              <w:ind w:firstLine="0" w:firstLineChars="0"/>
              <w:jc w:val="center"/>
              <w:rPr>
                <w:sz w:val="16"/>
                <w:szCs w:val="16"/>
              </w:rPr>
            </w:pPr>
            <w:r>
              <w:rPr>
                <w:rFonts w:hint="eastAsia"/>
                <w:sz w:val="16"/>
                <w:szCs w:val="16"/>
              </w:rPr>
              <w:t>规格</w:t>
            </w:r>
          </w:p>
        </w:tc>
        <w:tc>
          <w:tcPr>
            <w:tcW w:w="851" w:type="dxa"/>
            <w:vAlign w:val="center"/>
          </w:tcPr>
          <w:p w14:paraId="0B2A361C">
            <w:pPr>
              <w:pStyle w:val="25"/>
              <w:spacing w:line="240" w:lineRule="exact"/>
              <w:ind w:firstLine="0" w:firstLineChars="0"/>
              <w:jc w:val="center"/>
              <w:rPr>
                <w:sz w:val="16"/>
                <w:szCs w:val="16"/>
              </w:rPr>
            </w:pPr>
            <w:r>
              <w:rPr>
                <w:rFonts w:hint="eastAsia"/>
                <w:sz w:val="16"/>
                <w:szCs w:val="16"/>
              </w:rPr>
              <w:t>评价</w:t>
            </w:r>
          </w:p>
          <w:p w14:paraId="6D6A9567">
            <w:pPr>
              <w:pStyle w:val="25"/>
              <w:spacing w:line="240" w:lineRule="exact"/>
              <w:ind w:firstLine="0" w:firstLineChars="0"/>
              <w:jc w:val="center"/>
              <w:rPr>
                <w:sz w:val="16"/>
                <w:szCs w:val="16"/>
              </w:rPr>
            </w:pPr>
            <w:r>
              <w:rPr>
                <w:rFonts w:hint="eastAsia"/>
                <w:sz w:val="16"/>
                <w:szCs w:val="16"/>
              </w:rPr>
              <w:t>分值</w:t>
            </w:r>
          </w:p>
        </w:tc>
        <w:tc>
          <w:tcPr>
            <w:tcW w:w="850" w:type="dxa"/>
            <w:vAlign w:val="center"/>
          </w:tcPr>
          <w:p w14:paraId="2CF28A54">
            <w:pPr>
              <w:pStyle w:val="25"/>
              <w:spacing w:line="240" w:lineRule="exact"/>
              <w:ind w:firstLine="0" w:firstLineChars="0"/>
              <w:jc w:val="center"/>
              <w:rPr>
                <w:sz w:val="16"/>
                <w:szCs w:val="16"/>
              </w:rPr>
            </w:pPr>
            <w:r>
              <w:rPr>
                <w:rFonts w:hint="eastAsia"/>
                <w:sz w:val="16"/>
                <w:szCs w:val="16"/>
              </w:rPr>
              <w:t>评价</w:t>
            </w:r>
          </w:p>
          <w:p w14:paraId="6FB1805F">
            <w:pPr>
              <w:pStyle w:val="25"/>
              <w:spacing w:line="240" w:lineRule="exact"/>
              <w:ind w:firstLine="0" w:firstLineChars="0"/>
              <w:jc w:val="center"/>
              <w:rPr>
                <w:sz w:val="16"/>
                <w:szCs w:val="16"/>
              </w:rPr>
            </w:pPr>
            <w:r>
              <w:rPr>
                <w:rFonts w:hint="eastAsia"/>
                <w:sz w:val="16"/>
                <w:szCs w:val="16"/>
              </w:rPr>
              <w:t>等级</w:t>
            </w:r>
          </w:p>
        </w:tc>
        <w:tc>
          <w:tcPr>
            <w:tcW w:w="1134" w:type="dxa"/>
            <w:vAlign w:val="center"/>
          </w:tcPr>
          <w:p w14:paraId="07969DC6">
            <w:pPr>
              <w:pStyle w:val="25"/>
              <w:spacing w:line="240" w:lineRule="exact"/>
              <w:ind w:firstLine="0" w:firstLineChars="0"/>
              <w:jc w:val="center"/>
              <w:rPr>
                <w:sz w:val="16"/>
                <w:szCs w:val="16"/>
              </w:rPr>
            </w:pPr>
            <w:r>
              <w:rPr>
                <w:rFonts w:hint="eastAsia"/>
                <w:sz w:val="16"/>
                <w:szCs w:val="16"/>
              </w:rPr>
              <w:t>评价</w:t>
            </w:r>
          </w:p>
          <w:p w14:paraId="382F5FB7">
            <w:pPr>
              <w:pStyle w:val="25"/>
              <w:spacing w:line="240" w:lineRule="exact"/>
              <w:ind w:firstLine="0" w:firstLineChars="0"/>
              <w:jc w:val="center"/>
              <w:rPr>
                <w:sz w:val="16"/>
                <w:szCs w:val="16"/>
              </w:rPr>
            </w:pPr>
            <w:r>
              <w:rPr>
                <w:rFonts w:hint="eastAsia"/>
                <w:sz w:val="16"/>
                <w:szCs w:val="16"/>
              </w:rPr>
              <w:t>日期</w:t>
            </w:r>
          </w:p>
        </w:tc>
        <w:tc>
          <w:tcPr>
            <w:tcW w:w="1382" w:type="dxa"/>
            <w:vAlign w:val="center"/>
          </w:tcPr>
          <w:p w14:paraId="0C77BE75">
            <w:pPr>
              <w:pStyle w:val="25"/>
              <w:spacing w:line="240" w:lineRule="exact"/>
              <w:ind w:firstLine="0" w:firstLineChars="0"/>
              <w:jc w:val="center"/>
              <w:rPr>
                <w:sz w:val="16"/>
                <w:szCs w:val="16"/>
              </w:rPr>
            </w:pPr>
            <w:r>
              <w:rPr>
                <w:rFonts w:hint="eastAsia"/>
                <w:sz w:val="16"/>
                <w:szCs w:val="16"/>
              </w:rPr>
              <w:t>管理员</w:t>
            </w:r>
          </w:p>
        </w:tc>
      </w:tr>
      <w:tr w14:paraId="0EBEB39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restart"/>
            <w:vAlign w:val="center"/>
          </w:tcPr>
          <w:p w14:paraId="67CF2E1C">
            <w:pPr>
              <w:pStyle w:val="25"/>
              <w:spacing w:line="240" w:lineRule="exact"/>
              <w:ind w:firstLine="0" w:firstLineChars="0"/>
              <w:jc w:val="center"/>
              <w:rPr>
                <w:sz w:val="16"/>
                <w:szCs w:val="16"/>
              </w:rPr>
            </w:pPr>
            <w:r>
              <w:rPr>
                <w:rFonts w:hint="eastAsia"/>
                <w:sz w:val="16"/>
                <w:szCs w:val="16"/>
              </w:rPr>
              <w:t>1</w:t>
            </w:r>
          </w:p>
        </w:tc>
        <w:tc>
          <w:tcPr>
            <w:tcW w:w="1059" w:type="dxa"/>
            <w:vMerge w:val="restart"/>
            <w:vAlign w:val="center"/>
          </w:tcPr>
          <w:p w14:paraId="1228CCCE">
            <w:pPr>
              <w:pStyle w:val="25"/>
              <w:spacing w:line="240" w:lineRule="exact"/>
              <w:ind w:firstLine="0" w:firstLineChars="0"/>
              <w:jc w:val="center"/>
              <w:rPr>
                <w:sz w:val="16"/>
                <w:szCs w:val="16"/>
              </w:rPr>
            </w:pPr>
            <w:r>
              <w:rPr>
                <w:rFonts w:hint="eastAsia"/>
                <w:sz w:val="16"/>
                <w:szCs w:val="16"/>
              </w:rPr>
              <w:t>10kV 交流电力电缆</w:t>
            </w:r>
          </w:p>
        </w:tc>
        <w:tc>
          <w:tcPr>
            <w:tcW w:w="1134" w:type="dxa"/>
            <w:vAlign w:val="center"/>
          </w:tcPr>
          <w:p w14:paraId="4245AC24">
            <w:pPr>
              <w:pStyle w:val="25"/>
              <w:spacing w:line="240" w:lineRule="exact"/>
              <w:ind w:firstLine="0" w:firstLineChars="0"/>
              <w:jc w:val="center"/>
              <w:rPr>
                <w:sz w:val="16"/>
                <w:szCs w:val="16"/>
              </w:rPr>
            </w:pPr>
            <w:r>
              <w:rPr>
                <w:rFonts w:hint="eastAsia"/>
                <w:sz w:val="16"/>
                <w:szCs w:val="16"/>
              </w:rPr>
              <w:t>A</w:t>
            </w:r>
            <w:r>
              <w:rPr>
                <w:sz w:val="16"/>
                <w:szCs w:val="16"/>
              </w:rPr>
              <w:t>1</w:t>
            </w:r>
          </w:p>
        </w:tc>
        <w:tc>
          <w:tcPr>
            <w:tcW w:w="1276" w:type="dxa"/>
            <w:vAlign w:val="center"/>
          </w:tcPr>
          <w:p w14:paraId="05E9A87D">
            <w:pPr>
              <w:pStyle w:val="25"/>
              <w:spacing w:line="240" w:lineRule="exact"/>
              <w:ind w:firstLine="0" w:firstLineChars="0"/>
              <w:jc w:val="center"/>
              <w:rPr>
                <w:sz w:val="16"/>
                <w:szCs w:val="16"/>
              </w:rPr>
            </w:pPr>
          </w:p>
        </w:tc>
        <w:tc>
          <w:tcPr>
            <w:tcW w:w="851" w:type="dxa"/>
            <w:vAlign w:val="center"/>
          </w:tcPr>
          <w:p w14:paraId="6FF17ADB">
            <w:pPr>
              <w:pStyle w:val="25"/>
              <w:spacing w:line="240" w:lineRule="exact"/>
              <w:ind w:firstLine="0" w:firstLineChars="0"/>
              <w:jc w:val="center"/>
              <w:rPr>
                <w:sz w:val="16"/>
                <w:szCs w:val="16"/>
              </w:rPr>
            </w:pPr>
          </w:p>
        </w:tc>
        <w:tc>
          <w:tcPr>
            <w:tcW w:w="850" w:type="dxa"/>
            <w:vAlign w:val="center"/>
          </w:tcPr>
          <w:p w14:paraId="1E030D49">
            <w:pPr>
              <w:pStyle w:val="25"/>
              <w:spacing w:line="240" w:lineRule="exact"/>
              <w:ind w:firstLine="0" w:firstLineChars="0"/>
              <w:jc w:val="center"/>
              <w:rPr>
                <w:sz w:val="16"/>
                <w:szCs w:val="16"/>
              </w:rPr>
            </w:pPr>
          </w:p>
        </w:tc>
        <w:tc>
          <w:tcPr>
            <w:tcW w:w="1134" w:type="dxa"/>
            <w:vAlign w:val="center"/>
          </w:tcPr>
          <w:p w14:paraId="76216862">
            <w:pPr>
              <w:pStyle w:val="25"/>
              <w:spacing w:line="240" w:lineRule="exact"/>
              <w:ind w:firstLine="0" w:firstLineChars="0"/>
              <w:jc w:val="center"/>
              <w:rPr>
                <w:sz w:val="16"/>
                <w:szCs w:val="16"/>
              </w:rPr>
            </w:pPr>
          </w:p>
        </w:tc>
        <w:tc>
          <w:tcPr>
            <w:tcW w:w="1382" w:type="dxa"/>
            <w:vAlign w:val="center"/>
          </w:tcPr>
          <w:p w14:paraId="7AAE60A6">
            <w:pPr>
              <w:pStyle w:val="25"/>
              <w:spacing w:line="240" w:lineRule="exact"/>
              <w:ind w:firstLine="0" w:firstLineChars="0"/>
              <w:jc w:val="center"/>
              <w:rPr>
                <w:sz w:val="16"/>
                <w:szCs w:val="16"/>
              </w:rPr>
            </w:pPr>
          </w:p>
        </w:tc>
      </w:tr>
      <w:tr w14:paraId="40A1586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continue"/>
            <w:vAlign w:val="center"/>
          </w:tcPr>
          <w:p w14:paraId="44FDA338">
            <w:pPr>
              <w:pStyle w:val="25"/>
              <w:spacing w:line="240" w:lineRule="exact"/>
              <w:ind w:firstLine="0" w:firstLineChars="0"/>
              <w:jc w:val="center"/>
              <w:rPr>
                <w:sz w:val="16"/>
                <w:szCs w:val="16"/>
              </w:rPr>
            </w:pPr>
          </w:p>
        </w:tc>
        <w:tc>
          <w:tcPr>
            <w:tcW w:w="1059" w:type="dxa"/>
            <w:vMerge w:val="continue"/>
            <w:vAlign w:val="center"/>
          </w:tcPr>
          <w:p w14:paraId="516B679F">
            <w:pPr>
              <w:pStyle w:val="25"/>
              <w:spacing w:line="240" w:lineRule="exact"/>
              <w:ind w:firstLine="0" w:firstLineChars="0"/>
              <w:jc w:val="center"/>
              <w:rPr>
                <w:sz w:val="16"/>
                <w:szCs w:val="16"/>
              </w:rPr>
            </w:pPr>
          </w:p>
        </w:tc>
        <w:tc>
          <w:tcPr>
            <w:tcW w:w="1134" w:type="dxa"/>
            <w:vAlign w:val="center"/>
          </w:tcPr>
          <w:p w14:paraId="20731528">
            <w:pPr>
              <w:pStyle w:val="25"/>
              <w:spacing w:line="240" w:lineRule="exact"/>
              <w:ind w:firstLine="0" w:firstLineChars="0"/>
              <w:jc w:val="center"/>
              <w:rPr>
                <w:sz w:val="16"/>
                <w:szCs w:val="16"/>
              </w:rPr>
            </w:pPr>
            <w:r>
              <w:rPr>
                <w:rFonts w:hint="eastAsia"/>
                <w:sz w:val="16"/>
                <w:szCs w:val="16"/>
              </w:rPr>
              <w:t>A</w:t>
            </w:r>
            <w:r>
              <w:rPr>
                <w:sz w:val="16"/>
                <w:szCs w:val="16"/>
              </w:rPr>
              <w:t>2</w:t>
            </w:r>
          </w:p>
        </w:tc>
        <w:tc>
          <w:tcPr>
            <w:tcW w:w="1276" w:type="dxa"/>
            <w:vAlign w:val="center"/>
          </w:tcPr>
          <w:p w14:paraId="79FF6390">
            <w:pPr>
              <w:pStyle w:val="25"/>
              <w:spacing w:line="240" w:lineRule="exact"/>
              <w:ind w:firstLine="0" w:firstLineChars="0"/>
              <w:jc w:val="center"/>
              <w:rPr>
                <w:sz w:val="16"/>
                <w:szCs w:val="16"/>
              </w:rPr>
            </w:pPr>
          </w:p>
        </w:tc>
        <w:tc>
          <w:tcPr>
            <w:tcW w:w="851" w:type="dxa"/>
            <w:vAlign w:val="center"/>
          </w:tcPr>
          <w:p w14:paraId="559B88D1">
            <w:pPr>
              <w:pStyle w:val="25"/>
              <w:spacing w:line="240" w:lineRule="exact"/>
              <w:ind w:firstLine="0" w:firstLineChars="0"/>
              <w:jc w:val="center"/>
              <w:rPr>
                <w:sz w:val="16"/>
                <w:szCs w:val="16"/>
              </w:rPr>
            </w:pPr>
          </w:p>
        </w:tc>
        <w:tc>
          <w:tcPr>
            <w:tcW w:w="850" w:type="dxa"/>
            <w:vAlign w:val="center"/>
          </w:tcPr>
          <w:p w14:paraId="4ADC9D5B">
            <w:pPr>
              <w:pStyle w:val="25"/>
              <w:spacing w:line="240" w:lineRule="exact"/>
              <w:ind w:firstLine="0" w:firstLineChars="0"/>
              <w:jc w:val="center"/>
              <w:rPr>
                <w:sz w:val="16"/>
                <w:szCs w:val="16"/>
              </w:rPr>
            </w:pPr>
          </w:p>
        </w:tc>
        <w:tc>
          <w:tcPr>
            <w:tcW w:w="1134" w:type="dxa"/>
            <w:vAlign w:val="center"/>
          </w:tcPr>
          <w:p w14:paraId="0C8D8753">
            <w:pPr>
              <w:pStyle w:val="25"/>
              <w:spacing w:line="240" w:lineRule="exact"/>
              <w:ind w:firstLine="0" w:firstLineChars="0"/>
              <w:jc w:val="center"/>
              <w:rPr>
                <w:sz w:val="16"/>
                <w:szCs w:val="16"/>
              </w:rPr>
            </w:pPr>
          </w:p>
        </w:tc>
        <w:tc>
          <w:tcPr>
            <w:tcW w:w="1382" w:type="dxa"/>
            <w:vAlign w:val="center"/>
          </w:tcPr>
          <w:p w14:paraId="2C8D37C5">
            <w:pPr>
              <w:pStyle w:val="25"/>
              <w:spacing w:line="240" w:lineRule="exact"/>
              <w:ind w:firstLine="0" w:firstLineChars="0"/>
              <w:jc w:val="center"/>
              <w:rPr>
                <w:sz w:val="16"/>
                <w:szCs w:val="16"/>
              </w:rPr>
            </w:pPr>
          </w:p>
        </w:tc>
      </w:tr>
      <w:tr w14:paraId="1AE1887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continue"/>
            <w:vAlign w:val="center"/>
          </w:tcPr>
          <w:p w14:paraId="08C87CF3">
            <w:pPr>
              <w:pStyle w:val="25"/>
              <w:spacing w:line="240" w:lineRule="exact"/>
              <w:ind w:firstLine="0" w:firstLineChars="0"/>
              <w:jc w:val="center"/>
              <w:rPr>
                <w:sz w:val="16"/>
                <w:szCs w:val="16"/>
              </w:rPr>
            </w:pPr>
          </w:p>
        </w:tc>
        <w:tc>
          <w:tcPr>
            <w:tcW w:w="1059" w:type="dxa"/>
            <w:vMerge w:val="continue"/>
            <w:vAlign w:val="center"/>
          </w:tcPr>
          <w:p w14:paraId="0E6E257C">
            <w:pPr>
              <w:pStyle w:val="25"/>
              <w:spacing w:line="240" w:lineRule="exact"/>
              <w:ind w:firstLine="0" w:firstLineChars="0"/>
              <w:jc w:val="center"/>
              <w:rPr>
                <w:sz w:val="16"/>
                <w:szCs w:val="16"/>
              </w:rPr>
            </w:pPr>
          </w:p>
        </w:tc>
        <w:tc>
          <w:tcPr>
            <w:tcW w:w="1134" w:type="dxa"/>
            <w:vAlign w:val="center"/>
          </w:tcPr>
          <w:p w14:paraId="32A0CA28">
            <w:pPr>
              <w:pStyle w:val="25"/>
              <w:spacing w:line="240" w:lineRule="exact"/>
              <w:ind w:firstLine="0" w:firstLineChars="0"/>
              <w:jc w:val="center"/>
              <w:rPr>
                <w:sz w:val="16"/>
                <w:szCs w:val="16"/>
              </w:rPr>
            </w:pPr>
            <w:r>
              <w:rPr>
                <w:rFonts w:ascii="Times New Roman"/>
                <w:sz w:val="16"/>
                <w:szCs w:val="16"/>
              </w:rPr>
              <w:t>⁞</w:t>
            </w:r>
          </w:p>
        </w:tc>
        <w:tc>
          <w:tcPr>
            <w:tcW w:w="1276" w:type="dxa"/>
            <w:vAlign w:val="center"/>
          </w:tcPr>
          <w:p w14:paraId="5D783EA4">
            <w:pPr>
              <w:pStyle w:val="25"/>
              <w:spacing w:line="240" w:lineRule="exact"/>
              <w:ind w:firstLine="0" w:firstLineChars="0"/>
              <w:jc w:val="center"/>
              <w:rPr>
                <w:sz w:val="16"/>
                <w:szCs w:val="16"/>
              </w:rPr>
            </w:pPr>
          </w:p>
        </w:tc>
        <w:tc>
          <w:tcPr>
            <w:tcW w:w="851" w:type="dxa"/>
            <w:vAlign w:val="center"/>
          </w:tcPr>
          <w:p w14:paraId="6907F8CF">
            <w:pPr>
              <w:pStyle w:val="25"/>
              <w:spacing w:line="240" w:lineRule="exact"/>
              <w:ind w:firstLine="0" w:firstLineChars="0"/>
              <w:jc w:val="center"/>
              <w:rPr>
                <w:sz w:val="16"/>
                <w:szCs w:val="16"/>
              </w:rPr>
            </w:pPr>
          </w:p>
        </w:tc>
        <w:tc>
          <w:tcPr>
            <w:tcW w:w="850" w:type="dxa"/>
            <w:vAlign w:val="center"/>
          </w:tcPr>
          <w:p w14:paraId="71E1183B">
            <w:pPr>
              <w:pStyle w:val="25"/>
              <w:spacing w:line="240" w:lineRule="exact"/>
              <w:ind w:firstLine="0" w:firstLineChars="0"/>
              <w:jc w:val="center"/>
              <w:rPr>
                <w:sz w:val="16"/>
                <w:szCs w:val="16"/>
              </w:rPr>
            </w:pPr>
          </w:p>
        </w:tc>
        <w:tc>
          <w:tcPr>
            <w:tcW w:w="1134" w:type="dxa"/>
            <w:vAlign w:val="center"/>
          </w:tcPr>
          <w:p w14:paraId="636B7303">
            <w:pPr>
              <w:pStyle w:val="25"/>
              <w:spacing w:line="240" w:lineRule="exact"/>
              <w:ind w:firstLine="0" w:firstLineChars="0"/>
              <w:jc w:val="center"/>
              <w:rPr>
                <w:sz w:val="16"/>
                <w:szCs w:val="16"/>
              </w:rPr>
            </w:pPr>
          </w:p>
        </w:tc>
        <w:tc>
          <w:tcPr>
            <w:tcW w:w="1382" w:type="dxa"/>
            <w:vAlign w:val="center"/>
          </w:tcPr>
          <w:p w14:paraId="2C28235E">
            <w:pPr>
              <w:pStyle w:val="25"/>
              <w:spacing w:line="240" w:lineRule="exact"/>
              <w:ind w:firstLine="0" w:firstLineChars="0"/>
              <w:jc w:val="center"/>
              <w:rPr>
                <w:sz w:val="16"/>
                <w:szCs w:val="16"/>
              </w:rPr>
            </w:pPr>
          </w:p>
        </w:tc>
      </w:tr>
      <w:tr w14:paraId="06A000B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continue"/>
            <w:vAlign w:val="center"/>
          </w:tcPr>
          <w:p w14:paraId="593E1E37">
            <w:pPr>
              <w:pStyle w:val="25"/>
              <w:spacing w:line="240" w:lineRule="exact"/>
              <w:ind w:firstLine="0" w:firstLineChars="0"/>
              <w:jc w:val="center"/>
              <w:rPr>
                <w:sz w:val="16"/>
                <w:szCs w:val="16"/>
              </w:rPr>
            </w:pPr>
          </w:p>
        </w:tc>
        <w:tc>
          <w:tcPr>
            <w:tcW w:w="1059" w:type="dxa"/>
            <w:vMerge w:val="continue"/>
            <w:vAlign w:val="center"/>
          </w:tcPr>
          <w:p w14:paraId="3F1A1905">
            <w:pPr>
              <w:pStyle w:val="25"/>
              <w:spacing w:line="240" w:lineRule="exact"/>
              <w:ind w:firstLine="0" w:firstLineChars="0"/>
              <w:jc w:val="center"/>
              <w:rPr>
                <w:sz w:val="16"/>
                <w:szCs w:val="16"/>
              </w:rPr>
            </w:pPr>
          </w:p>
        </w:tc>
        <w:tc>
          <w:tcPr>
            <w:tcW w:w="1134" w:type="dxa"/>
            <w:vAlign w:val="center"/>
          </w:tcPr>
          <w:p w14:paraId="673EA403">
            <w:pPr>
              <w:pStyle w:val="25"/>
              <w:spacing w:line="240" w:lineRule="exact"/>
              <w:ind w:firstLine="0" w:firstLineChars="0"/>
              <w:jc w:val="center"/>
              <w:rPr>
                <w:sz w:val="16"/>
                <w:szCs w:val="16"/>
              </w:rPr>
            </w:pPr>
            <w:r>
              <w:rPr>
                <w:rFonts w:hint="eastAsia"/>
                <w:sz w:val="16"/>
                <w:szCs w:val="16"/>
              </w:rPr>
              <w:t>A</w:t>
            </w:r>
            <w:r>
              <w:rPr>
                <w:sz w:val="16"/>
                <w:szCs w:val="16"/>
              </w:rPr>
              <w:t>n</w:t>
            </w:r>
          </w:p>
        </w:tc>
        <w:tc>
          <w:tcPr>
            <w:tcW w:w="1276" w:type="dxa"/>
            <w:vAlign w:val="center"/>
          </w:tcPr>
          <w:p w14:paraId="69270711">
            <w:pPr>
              <w:pStyle w:val="25"/>
              <w:spacing w:line="240" w:lineRule="exact"/>
              <w:ind w:firstLine="0" w:firstLineChars="0"/>
              <w:jc w:val="center"/>
              <w:rPr>
                <w:sz w:val="16"/>
                <w:szCs w:val="16"/>
              </w:rPr>
            </w:pPr>
          </w:p>
        </w:tc>
        <w:tc>
          <w:tcPr>
            <w:tcW w:w="851" w:type="dxa"/>
            <w:vAlign w:val="center"/>
          </w:tcPr>
          <w:p w14:paraId="1946FA4F">
            <w:pPr>
              <w:pStyle w:val="25"/>
              <w:spacing w:line="240" w:lineRule="exact"/>
              <w:ind w:firstLine="0" w:firstLineChars="0"/>
              <w:jc w:val="center"/>
              <w:rPr>
                <w:sz w:val="16"/>
                <w:szCs w:val="16"/>
              </w:rPr>
            </w:pPr>
          </w:p>
        </w:tc>
        <w:tc>
          <w:tcPr>
            <w:tcW w:w="850" w:type="dxa"/>
            <w:vAlign w:val="center"/>
          </w:tcPr>
          <w:p w14:paraId="52FD6816">
            <w:pPr>
              <w:pStyle w:val="25"/>
              <w:spacing w:line="240" w:lineRule="exact"/>
              <w:ind w:firstLine="0" w:firstLineChars="0"/>
              <w:jc w:val="center"/>
              <w:rPr>
                <w:sz w:val="16"/>
                <w:szCs w:val="16"/>
              </w:rPr>
            </w:pPr>
          </w:p>
        </w:tc>
        <w:tc>
          <w:tcPr>
            <w:tcW w:w="1134" w:type="dxa"/>
            <w:vAlign w:val="center"/>
          </w:tcPr>
          <w:p w14:paraId="5E8F0775">
            <w:pPr>
              <w:pStyle w:val="25"/>
              <w:spacing w:line="240" w:lineRule="exact"/>
              <w:ind w:firstLine="0" w:firstLineChars="0"/>
              <w:jc w:val="center"/>
              <w:rPr>
                <w:sz w:val="16"/>
                <w:szCs w:val="16"/>
              </w:rPr>
            </w:pPr>
          </w:p>
        </w:tc>
        <w:tc>
          <w:tcPr>
            <w:tcW w:w="1382" w:type="dxa"/>
            <w:vAlign w:val="center"/>
          </w:tcPr>
          <w:p w14:paraId="301DE9D3">
            <w:pPr>
              <w:pStyle w:val="25"/>
              <w:spacing w:line="240" w:lineRule="exact"/>
              <w:ind w:firstLine="0" w:firstLineChars="0"/>
              <w:jc w:val="center"/>
              <w:rPr>
                <w:sz w:val="16"/>
                <w:szCs w:val="16"/>
              </w:rPr>
            </w:pPr>
          </w:p>
        </w:tc>
      </w:tr>
      <w:tr w14:paraId="2306D4A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restart"/>
            <w:vAlign w:val="center"/>
          </w:tcPr>
          <w:p w14:paraId="43486E1B">
            <w:pPr>
              <w:pStyle w:val="25"/>
              <w:spacing w:line="240" w:lineRule="exact"/>
              <w:ind w:firstLine="0" w:firstLineChars="0"/>
              <w:jc w:val="center"/>
              <w:rPr>
                <w:sz w:val="16"/>
                <w:szCs w:val="16"/>
              </w:rPr>
            </w:pPr>
            <w:r>
              <w:rPr>
                <w:rFonts w:hint="eastAsia"/>
                <w:sz w:val="16"/>
                <w:szCs w:val="16"/>
              </w:rPr>
              <w:t>2</w:t>
            </w:r>
          </w:p>
        </w:tc>
        <w:tc>
          <w:tcPr>
            <w:tcW w:w="1059" w:type="dxa"/>
            <w:vMerge w:val="restart"/>
            <w:vAlign w:val="center"/>
          </w:tcPr>
          <w:p w14:paraId="4CB4E4CA">
            <w:pPr>
              <w:pStyle w:val="25"/>
              <w:spacing w:line="240" w:lineRule="exact"/>
              <w:ind w:firstLine="0" w:firstLineChars="0"/>
              <w:jc w:val="center"/>
              <w:rPr>
                <w:sz w:val="16"/>
                <w:szCs w:val="16"/>
              </w:rPr>
            </w:pPr>
            <w:r>
              <w:rPr>
                <w:rFonts w:hint="eastAsia"/>
                <w:sz w:val="16"/>
                <w:szCs w:val="16"/>
              </w:rPr>
              <w:t>10kV高压开关柜</w:t>
            </w:r>
          </w:p>
        </w:tc>
        <w:tc>
          <w:tcPr>
            <w:tcW w:w="1134" w:type="dxa"/>
            <w:vAlign w:val="center"/>
          </w:tcPr>
          <w:p w14:paraId="52B9F133">
            <w:pPr>
              <w:pStyle w:val="25"/>
              <w:spacing w:line="240" w:lineRule="exact"/>
              <w:ind w:firstLine="0" w:firstLineChars="0"/>
              <w:jc w:val="center"/>
              <w:rPr>
                <w:sz w:val="16"/>
                <w:szCs w:val="16"/>
              </w:rPr>
            </w:pPr>
            <w:r>
              <w:rPr>
                <w:rFonts w:hint="eastAsia"/>
                <w:sz w:val="16"/>
                <w:szCs w:val="16"/>
              </w:rPr>
              <w:t>A</w:t>
            </w:r>
            <w:r>
              <w:rPr>
                <w:sz w:val="16"/>
                <w:szCs w:val="16"/>
              </w:rPr>
              <w:t>1</w:t>
            </w:r>
          </w:p>
        </w:tc>
        <w:tc>
          <w:tcPr>
            <w:tcW w:w="1276" w:type="dxa"/>
            <w:vAlign w:val="center"/>
          </w:tcPr>
          <w:p w14:paraId="426706DF">
            <w:pPr>
              <w:pStyle w:val="25"/>
              <w:spacing w:line="240" w:lineRule="exact"/>
              <w:ind w:firstLine="0" w:firstLineChars="0"/>
              <w:jc w:val="center"/>
              <w:rPr>
                <w:sz w:val="16"/>
                <w:szCs w:val="16"/>
              </w:rPr>
            </w:pPr>
          </w:p>
        </w:tc>
        <w:tc>
          <w:tcPr>
            <w:tcW w:w="851" w:type="dxa"/>
            <w:vAlign w:val="center"/>
          </w:tcPr>
          <w:p w14:paraId="057F6E95">
            <w:pPr>
              <w:pStyle w:val="25"/>
              <w:spacing w:line="240" w:lineRule="exact"/>
              <w:ind w:firstLine="0" w:firstLineChars="0"/>
              <w:jc w:val="center"/>
              <w:rPr>
                <w:sz w:val="16"/>
                <w:szCs w:val="16"/>
              </w:rPr>
            </w:pPr>
          </w:p>
        </w:tc>
        <w:tc>
          <w:tcPr>
            <w:tcW w:w="850" w:type="dxa"/>
            <w:vAlign w:val="center"/>
          </w:tcPr>
          <w:p w14:paraId="04C20E3E">
            <w:pPr>
              <w:pStyle w:val="25"/>
              <w:spacing w:line="240" w:lineRule="exact"/>
              <w:ind w:firstLine="0" w:firstLineChars="0"/>
              <w:jc w:val="center"/>
              <w:rPr>
                <w:sz w:val="16"/>
                <w:szCs w:val="16"/>
              </w:rPr>
            </w:pPr>
          </w:p>
        </w:tc>
        <w:tc>
          <w:tcPr>
            <w:tcW w:w="1134" w:type="dxa"/>
            <w:vAlign w:val="center"/>
          </w:tcPr>
          <w:p w14:paraId="23A91846">
            <w:pPr>
              <w:pStyle w:val="25"/>
              <w:spacing w:line="240" w:lineRule="exact"/>
              <w:ind w:firstLine="0" w:firstLineChars="0"/>
              <w:jc w:val="center"/>
              <w:rPr>
                <w:sz w:val="16"/>
                <w:szCs w:val="16"/>
              </w:rPr>
            </w:pPr>
          </w:p>
        </w:tc>
        <w:tc>
          <w:tcPr>
            <w:tcW w:w="1382" w:type="dxa"/>
            <w:vAlign w:val="center"/>
          </w:tcPr>
          <w:p w14:paraId="2914EE4D">
            <w:pPr>
              <w:pStyle w:val="25"/>
              <w:spacing w:line="240" w:lineRule="exact"/>
              <w:ind w:firstLine="0" w:firstLineChars="0"/>
              <w:jc w:val="center"/>
              <w:rPr>
                <w:sz w:val="16"/>
                <w:szCs w:val="16"/>
              </w:rPr>
            </w:pPr>
          </w:p>
        </w:tc>
      </w:tr>
      <w:tr w14:paraId="377C127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continue"/>
            <w:vAlign w:val="center"/>
          </w:tcPr>
          <w:p w14:paraId="58187B28">
            <w:pPr>
              <w:pStyle w:val="25"/>
              <w:spacing w:line="240" w:lineRule="exact"/>
              <w:ind w:firstLine="0" w:firstLineChars="0"/>
              <w:jc w:val="center"/>
              <w:rPr>
                <w:sz w:val="16"/>
                <w:szCs w:val="16"/>
              </w:rPr>
            </w:pPr>
          </w:p>
        </w:tc>
        <w:tc>
          <w:tcPr>
            <w:tcW w:w="1059" w:type="dxa"/>
            <w:vMerge w:val="continue"/>
            <w:vAlign w:val="center"/>
          </w:tcPr>
          <w:p w14:paraId="3E3996BB">
            <w:pPr>
              <w:pStyle w:val="25"/>
              <w:spacing w:line="240" w:lineRule="exact"/>
              <w:ind w:firstLine="0" w:firstLineChars="0"/>
              <w:jc w:val="center"/>
              <w:rPr>
                <w:sz w:val="16"/>
                <w:szCs w:val="16"/>
              </w:rPr>
            </w:pPr>
          </w:p>
        </w:tc>
        <w:tc>
          <w:tcPr>
            <w:tcW w:w="1134" w:type="dxa"/>
            <w:vAlign w:val="center"/>
          </w:tcPr>
          <w:p w14:paraId="42585EAC">
            <w:pPr>
              <w:pStyle w:val="25"/>
              <w:spacing w:line="240" w:lineRule="exact"/>
              <w:ind w:firstLine="0" w:firstLineChars="0"/>
              <w:jc w:val="center"/>
              <w:rPr>
                <w:sz w:val="16"/>
                <w:szCs w:val="16"/>
              </w:rPr>
            </w:pPr>
            <w:r>
              <w:rPr>
                <w:rFonts w:hint="eastAsia"/>
                <w:sz w:val="16"/>
                <w:szCs w:val="16"/>
              </w:rPr>
              <w:t>A</w:t>
            </w:r>
            <w:r>
              <w:rPr>
                <w:sz w:val="16"/>
                <w:szCs w:val="16"/>
              </w:rPr>
              <w:t>2</w:t>
            </w:r>
          </w:p>
        </w:tc>
        <w:tc>
          <w:tcPr>
            <w:tcW w:w="1276" w:type="dxa"/>
            <w:vAlign w:val="center"/>
          </w:tcPr>
          <w:p w14:paraId="5334C50C">
            <w:pPr>
              <w:pStyle w:val="25"/>
              <w:spacing w:line="240" w:lineRule="exact"/>
              <w:ind w:firstLine="0" w:firstLineChars="0"/>
              <w:jc w:val="center"/>
              <w:rPr>
                <w:sz w:val="16"/>
                <w:szCs w:val="16"/>
              </w:rPr>
            </w:pPr>
          </w:p>
        </w:tc>
        <w:tc>
          <w:tcPr>
            <w:tcW w:w="851" w:type="dxa"/>
            <w:vAlign w:val="center"/>
          </w:tcPr>
          <w:p w14:paraId="2A785206">
            <w:pPr>
              <w:pStyle w:val="25"/>
              <w:spacing w:line="240" w:lineRule="exact"/>
              <w:ind w:firstLine="0" w:firstLineChars="0"/>
              <w:jc w:val="center"/>
              <w:rPr>
                <w:sz w:val="16"/>
                <w:szCs w:val="16"/>
              </w:rPr>
            </w:pPr>
          </w:p>
        </w:tc>
        <w:tc>
          <w:tcPr>
            <w:tcW w:w="850" w:type="dxa"/>
            <w:vAlign w:val="center"/>
          </w:tcPr>
          <w:p w14:paraId="64EF82E6">
            <w:pPr>
              <w:pStyle w:val="25"/>
              <w:spacing w:line="240" w:lineRule="exact"/>
              <w:ind w:firstLine="0" w:firstLineChars="0"/>
              <w:jc w:val="center"/>
              <w:rPr>
                <w:sz w:val="16"/>
                <w:szCs w:val="16"/>
              </w:rPr>
            </w:pPr>
          </w:p>
        </w:tc>
        <w:tc>
          <w:tcPr>
            <w:tcW w:w="1134" w:type="dxa"/>
            <w:vAlign w:val="center"/>
          </w:tcPr>
          <w:p w14:paraId="537D9FC6">
            <w:pPr>
              <w:pStyle w:val="25"/>
              <w:spacing w:line="240" w:lineRule="exact"/>
              <w:ind w:firstLine="0" w:firstLineChars="0"/>
              <w:jc w:val="center"/>
              <w:rPr>
                <w:sz w:val="16"/>
                <w:szCs w:val="16"/>
              </w:rPr>
            </w:pPr>
          </w:p>
        </w:tc>
        <w:tc>
          <w:tcPr>
            <w:tcW w:w="1382" w:type="dxa"/>
            <w:vAlign w:val="center"/>
          </w:tcPr>
          <w:p w14:paraId="15675031">
            <w:pPr>
              <w:pStyle w:val="25"/>
              <w:spacing w:line="240" w:lineRule="exact"/>
              <w:ind w:firstLine="0" w:firstLineChars="0"/>
              <w:jc w:val="center"/>
              <w:rPr>
                <w:sz w:val="16"/>
                <w:szCs w:val="16"/>
              </w:rPr>
            </w:pPr>
          </w:p>
        </w:tc>
      </w:tr>
      <w:tr w14:paraId="2E24107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continue"/>
            <w:vAlign w:val="center"/>
          </w:tcPr>
          <w:p w14:paraId="2DDC13BA">
            <w:pPr>
              <w:pStyle w:val="25"/>
              <w:spacing w:line="240" w:lineRule="exact"/>
              <w:ind w:firstLine="0" w:firstLineChars="0"/>
              <w:jc w:val="center"/>
              <w:rPr>
                <w:sz w:val="16"/>
                <w:szCs w:val="16"/>
              </w:rPr>
            </w:pPr>
          </w:p>
        </w:tc>
        <w:tc>
          <w:tcPr>
            <w:tcW w:w="1059" w:type="dxa"/>
            <w:vMerge w:val="continue"/>
            <w:vAlign w:val="center"/>
          </w:tcPr>
          <w:p w14:paraId="6EED9385">
            <w:pPr>
              <w:pStyle w:val="25"/>
              <w:spacing w:line="240" w:lineRule="exact"/>
              <w:ind w:firstLine="0" w:firstLineChars="0"/>
              <w:jc w:val="center"/>
              <w:rPr>
                <w:sz w:val="16"/>
                <w:szCs w:val="16"/>
              </w:rPr>
            </w:pPr>
          </w:p>
        </w:tc>
        <w:tc>
          <w:tcPr>
            <w:tcW w:w="1134" w:type="dxa"/>
            <w:vAlign w:val="center"/>
          </w:tcPr>
          <w:p w14:paraId="2B414410">
            <w:pPr>
              <w:pStyle w:val="25"/>
              <w:spacing w:line="240" w:lineRule="exact"/>
              <w:ind w:firstLine="0" w:firstLineChars="0"/>
              <w:jc w:val="center"/>
              <w:rPr>
                <w:sz w:val="16"/>
                <w:szCs w:val="16"/>
              </w:rPr>
            </w:pPr>
            <w:r>
              <w:rPr>
                <w:rFonts w:ascii="Times New Roman"/>
                <w:sz w:val="16"/>
                <w:szCs w:val="16"/>
              </w:rPr>
              <w:t>⁞</w:t>
            </w:r>
          </w:p>
        </w:tc>
        <w:tc>
          <w:tcPr>
            <w:tcW w:w="1276" w:type="dxa"/>
            <w:vAlign w:val="center"/>
          </w:tcPr>
          <w:p w14:paraId="01DCDF46">
            <w:pPr>
              <w:pStyle w:val="25"/>
              <w:spacing w:line="240" w:lineRule="exact"/>
              <w:ind w:firstLine="0" w:firstLineChars="0"/>
              <w:jc w:val="center"/>
              <w:rPr>
                <w:sz w:val="16"/>
                <w:szCs w:val="16"/>
              </w:rPr>
            </w:pPr>
          </w:p>
        </w:tc>
        <w:tc>
          <w:tcPr>
            <w:tcW w:w="851" w:type="dxa"/>
            <w:vAlign w:val="center"/>
          </w:tcPr>
          <w:p w14:paraId="116E4285">
            <w:pPr>
              <w:pStyle w:val="25"/>
              <w:spacing w:line="240" w:lineRule="exact"/>
              <w:ind w:firstLine="0" w:firstLineChars="0"/>
              <w:jc w:val="center"/>
              <w:rPr>
                <w:sz w:val="16"/>
                <w:szCs w:val="16"/>
              </w:rPr>
            </w:pPr>
          </w:p>
        </w:tc>
        <w:tc>
          <w:tcPr>
            <w:tcW w:w="850" w:type="dxa"/>
            <w:vAlign w:val="center"/>
          </w:tcPr>
          <w:p w14:paraId="4DFAA3BD">
            <w:pPr>
              <w:pStyle w:val="25"/>
              <w:spacing w:line="240" w:lineRule="exact"/>
              <w:ind w:firstLine="0" w:firstLineChars="0"/>
              <w:jc w:val="center"/>
              <w:rPr>
                <w:sz w:val="16"/>
                <w:szCs w:val="16"/>
              </w:rPr>
            </w:pPr>
          </w:p>
        </w:tc>
        <w:tc>
          <w:tcPr>
            <w:tcW w:w="1134" w:type="dxa"/>
            <w:vAlign w:val="center"/>
          </w:tcPr>
          <w:p w14:paraId="236855B7">
            <w:pPr>
              <w:pStyle w:val="25"/>
              <w:spacing w:line="240" w:lineRule="exact"/>
              <w:ind w:firstLine="0" w:firstLineChars="0"/>
              <w:jc w:val="center"/>
              <w:rPr>
                <w:sz w:val="16"/>
                <w:szCs w:val="16"/>
              </w:rPr>
            </w:pPr>
          </w:p>
        </w:tc>
        <w:tc>
          <w:tcPr>
            <w:tcW w:w="1382" w:type="dxa"/>
            <w:vAlign w:val="center"/>
          </w:tcPr>
          <w:p w14:paraId="74AD0EF7">
            <w:pPr>
              <w:pStyle w:val="25"/>
              <w:spacing w:line="240" w:lineRule="exact"/>
              <w:ind w:firstLine="0" w:firstLineChars="0"/>
              <w:jc w:val="center"/>
              <w:rPr>
                <w:sz w:val="16"/>
                <w:szCs w:val="16"/>
              </w:rPr>
            </w:pPr>
          </w:p>
        </w:tc>
      </w:tr>
      <w:tr w14:paraId="273E6B2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continue"/>
            <w:vAlign w:val="center"/>
          </w:tcPr>
          <w:p w14:paraId="389987DE">
            <w:pPr>
              <w:pStyle w:val="25"/>
              <w:spacing w:line="240" w:lineRule="exact"/>
              <w:ind w:firstLine="0" w:firstLineChars="0"/>
              <w:jc w:val="center"/>
              <w:rPr>
                <w:sz w:val="16"/>
                <w:szCs w:val="16"/>
              </w:rPr>
            </w:pPr>
          </w:p>
        </w:tc>
        <w:tc>
          <w:tcPr>
            <w:tcW w:w="1059" w:type="dxa"/>
            <w:vMerge w:val="continue"/>
            <w:vAlign w:val="center"/>
          </w:tcPr>
          <w:p w14:paraId="74FE1E2C">
            <w:pPr>
              <w:pStyle w:val="25"/>
              <w:spacing w:line="240" w:lineRule="exact"/>
              <w:ind w:firstLine="0" w:firstLineChars="0"/>
              <w:jc w:val="center"/>
              <w:rPr>
                <w:sz w:val="16"/>
                <w:szCs w:val="16"/>
              </w:rPr>
            </w:pPr>
          </w:p>
        </w:tc>
        <w:tc>
          <w:tcPr>
            <w:tcW w:w="1134" w:type="dxa"/>
            <w:vAlign w:val="center"/>
          </w:tcPr>
          <w:p w14:paraId="53D8659C">
            <w:pPr>
              <w:pStyle w:val="25"/>
              <w:spacing w:line="240" w:lineRule="exact"/>
              <w:ind w:firstLine="0" w:firstLineChars="0"/>
              <w:jc w:val="center"/>
              <w:rPr>
                <w:sz w:val="16"/>
                <w:szCs w:val="16"/>
              </w:rPr>
            </w:pPr>
            <w:r>
              <w:rPr>
                <w:rFonts w:hint="eastAsia"/>
                <w:sz w:val="16"/>
                <w:szCs w:val="16"/>
              </w:rPr>
              <w:t>A</w:t>
            </w:r>
            <w:r>
              <w:rPr>
                <w:sz w:val="16"/>
                <w:szCs w:val="16"/>
              </w:rPr>
              <w:t>n</w:t>
            </w:r>
          </w:p>
        </w:tc>
        <w:tc>
          <w:tcPr>
            <w:tcW w:w="1276" w:type="dxa"/>
            <w:vAlign w:val="center"/>
          </w:tcPr>
          <w:p w14:paraId="2FBEF39B">
            <w:pPr>
              <w:pStyle w:val="25"/>
              <w:spacing w:line="240" w:lineRule="exact"/>
              <w:ind w:firstLine="0" w:firstLineChars="0"/>
              <w:jc w:val="center"/>
              <w:rPr>
                <w:sz w:val="16"/>
                <w:szCs w:val="16"/>
              </w:rPr>
            </w:pPr>
          </w:p>
        </w:tc>
        <w:tc>
          <w:tcPr>
            <w:tcW w:w="851" w:type="dxa"/>
            <w:vAlign w:val="center"/>
          </w:tcPr>
          <w:p w14:paraId="4B94444B">
            <w:pPr>
              <w:pStyle w:val="25"/>
              <w:spacing w:line="240" w:lineRule="exact"/>
              <w:ind w:firstLine="0" w:firstLineChars="0"/>
              <w:jc w:val="center"/>
              <w:rPr>
                <w:sz w:val="16"/>
                <w:szCs w:val="16"/>
              </w:rPr>
            </w:pPr>
          </w:p>
        </w:tc>
        <w:tc>
          <w:tcPr>
            <w:tcW w:w="850" w:type="dxa"/>
            <w:vAlign w:val="center"/>
          </w:tcPr>
          <w:p w14:paraId="120CD9ED">
            <w:pPr>
              <w:pStyle w:val="25"/>
              <w:spacing w:line="240" w:lineRule="exact"/>
              <w:ind w:firstLine="0" w:firstLineChars="0"/>
              <w:jc w:val="center"/>
              <w:rPr>
                <w:sz w:val="16"/>
                <w:szCs w:val="16"/>
              </w:rPr>
            </w:pPr>
          </w:p>
        </w:tc>
        <w:tc>
          <w:tcPr>
            <w:tcW w:w="1134" w:type="dxa"/>
            <w:vAlign w:val="center"/>
          </w:tcPr>
          <w:p w14:paraId="12110310">
            <w:pPr>
              <w:pStyle w:val="25"/>
              <w:spacing w:line="240" w:lineRule="exact"/>
              <w:ind w:firstLine="0" w:firstLineChars="0"/>
              <w:jc w:val="center"/>
              <w:rPr>
                <w:sz w:val="16"/>
                <w:szCs w:val="16"/>
              </w:rPr>
            </w:pPr>
          </w:p>
        </w:tc>
        <w:tc>
          <w:tcPr>
            <w:tcW w:w="1382" w:type="dxa"/>
            <w:vAlign w:val="center"/>
          </w:tcPr>
          <w:p w14:paraId="31AF2580">
            <w:pPr>
              <w:pStyle w:val="25"/>
              <w:spacing w:line="240" w:lineRule="exact"/>
              <w:ind w:firstLine="0" w:firstLineChars="0"/>
              <w:jc w:val="center"/>
              <w:rPr>
                <w:sz w:val="16"/>
                <w:szCs w:val="16"/>
              </w:rPr>
            </w:pPr>
          </w:p>
        </w:tc>
      </w:tr>
      <w:tr w14:paraId="0D62464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restart"/>
            <w:vAlign w:val="center"/>
          </w:tcPr>
          <w:p w14:paraId="20A288B9">
            <w:pPr>
              <w:pStyle w:val="25"/>
              <w:spacing w:line="240" w:lineRule="exact"/>
              <w:ind w:firstLine="0" w:firstLineChars="0"/>
              <w:jc w:val="center"/>
              <w:rPr>
                <w:sz w:val="16"/>
                <w:szCs w:val="16"/>
              </w:rPr>
            </w:pPr>
            <w:r>
              <w:rPr>
                <w:rFonts w:hint="eastAsia"/>
                <w:sz w:val="16"/>
                <w:szCs w:val="16"/>
              </w:rPr>
              <w:t>3</w:t>
            </w:r>
          </w:p>
        </w:tc>
        <w:tc>
          <w:tcPr>
            <w:tcW w:w="1059" w:type="dxa"/>
            <w:vMerge w:val="restart"/>
            <w:vAlign w:val="center"/>
          </w:tcPr>
          <w:p w14:paraId="1663DFDA">
            <w:pPr>
              <w:pStyle w:val="25"/>
              <w:spacing w:line="240" w:lineRule="exact"/>
              <w:ind w:firstLine="0" w:firstLineChars="0"/>
              <w:jc w:val="center"/>
              <w:rPr>
                <w:sz w:val="16"/>
                <w:szCs w:val="16"/>
              </w:rPr>
            </w:pPr>
            <w:r>
              <w:rPr>
                <w:rFonts w:hint="eastAsia"/>
                <w:sz w:val="16"/>
                <w:szCs w:val="16"/>
              </w:rPr>
              <w:t>10kV油浸式变压器（非晶合金型除外）</w:t>
            </w:r>
          </w:p>
        </w:tc>
        <w:tc>
          <w:tcPr>
            <w:tcW w:w="1134" w:type="dxa"/>
            <w:vAlign w:val="center"/>
          </w:tcPr>
          <w:p w14:paraId="108F5BFB">
            <w:pPr>
              <w:pStyle w:val="25"/>
              <w:spacing w:line="240" w:lineRule="exact"/>
              <w:ind w:firstLine="0" w:firstLineChars="0"/>
              <w:jc w:val="center"/>
              <w:rPr>
                <w:sz w:val="16"/>
                <w:szCs w:val="16"/>
              </w:rPr>
            </w:pPr>
            <w:r>
              <w:rPr>
                <w:rFonts w:hint="eastAsia"/>
                <w:sz w:val="16"/>
                <w:szCs w:val="16"/>
              </w:rPr>
              <w:t>A</w:t>
            </w:r>
            <w:r>
              <w:rPr>
                <w:sz w:val="16"/>
                <w:szCs w:val="16"/>
              </w:rPr>
              <w:t>1</w:t>
            </w:r>
          </w:p>
        </w:tc>
        <w:tc>
          <w:tcPr>
            <w:tcW w:w="1276" w:type="dxa"/>
            <w:vAlign w:val="center"/>
          </w:tcPr>
          <w:p w14:paraId="66C85EFC">
            <w:pPr>
              <w:pStyle w:val="25"/>
              <w:spacing w:line="240" w:lineRule="exact"/>
              <w:ind w:firstLine="0" w:firstLineChars="0"/>
              <w:jc w:val="center"/>
              <w:rPr>
                <w:sz w:val="16"/>
                <w:szCs w:val="16"/>
              </w:rPr>
            </w:pPr>
          </w:p>
        </w:tc>
        <w:tc>
          <w:tcPr>
            <w:tcW w:w="851" w:type="dxa"/>
            <w:vAlign w:val="center"/>
          </w:tcPr>
          <w:p w14:paraId="2FF0C93B">
            <w:pPr>
              <w:pStyle w:val="25"/>
              <w:spacing w:line="240" w:lineRule="exact"/>
              <w:ind w:firstLine="0" w:firstLineChars="0"/>
              <w:jc w:val="center"/>
              <w:rPr>
                <w:sz w:val="16"/>
                <w:szCs w:val="16"/>
              </w:rPr>
            </w:pPr>
          </w:p>
        </w:tc>
        <w:tc>
          <w:tcPr>
            <w:tcW w:w="850" w:type="dxa"/>
            <w:vAlign w:val="center"/>
          </w:tcPr>
          <w:p w14:paraId="4364B48D">
            <w:pPr>
              <w:pStyle w:val="25"/>
              <w:spacing w:line="240" w:lineRule="exact"/>
              <w:ind w:firstLine="0" w:firstLineChars="0"/>
              <w:jc w:val="center"/>
              <w:rPr>
                <w:sz w:val="16"/>
                <w:szCs w:val="16"/>
              </w:rPr>
            </w:pPr>
          </w:p>
        </w:tc>
        <w:tc>
          <w:tcPr>
            <w:tcW w:w="1134" w:type="dxa"/>
            <w:vAlign w:val="center"/>
          </w:tcPr>
          <w:p w14:paraId="096F5014">
            <w:pPr>
              <w:pStyle w:val="25"/>
              <w:spacing w:line="240" w:lineRule="exact"/>
              <w:ind w:firstLine="0" w:firstLineChars="0"/>
              <w:jc w:val="center"/>
              <w:rPr>
                <w:sz w:val="16"/>
                <w:szCs w:val="16"/>
              </w:rPr>
            </w:pPr>
          </w:p>
        </w:tc>
        <w:tc>
          <w:tcPr>
            <w:tcW w:w="1382" w:type="dxa"/>
            <w:vAlign w:val="center"/>
          </w:tcPr>
          <w:p w14:paraId="0E5FD45A">
            <w:pPr>
              <w:pStyle w:val="25"/>
              <w:spacing w:line="240" w:lineRule="exact"/>
              <w:ind w:firstLine="0" w:firstLineChars="0"/>
              <w:jc w:val="center"/>
              <w:rPr>
                <w:sz w:val="16"/>
                <w:szCs w:val="16"/>
              </w:rPr>
            </w:pPr>
          </w:p>
        </w:tc>
      </w:tr>
      <w:tr w14:paraId="0AB1E69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continue"/>
            <w:vAlign w:val="center"/>
          </w:tcPr>
          <w:p w14:paraId="0E2FEE5D">
            <w:pPr>
              <w:pStyle w:val="25"/>
              <w:spacing w:line="240" w:lineRule="exact"/>
              <w:ind w:firstLine="0" w:firstLineChars="0"/>
              <w:jc w:val="center"/>
              <w:rPr>
                <w:sz w:val="16"/>
                <w:szCs w:val="16"/>
              </w:rPr>
            </w:pPr>
          </w:p>
        </w:tc>
        <w:tc>
          <w:tcPr>
            <w:tcW w:w="1059" w:type="dxa"/>
            <w:vMerge w:val="continue"/>
            <w:vAlign w:val="center"/>
          </w:tcPr>
          <w:p w14:paraId="5FD818F6">
            <w:pPr>
              <w:pStyle w:val="25"/>
              <w:spacing w:line="240" w:lineRule="exact"/>
              <w:ind w:firstLine="0" w:firstLineChars="0"/>
              <w:jc w:val="center"/>
              <w:rPr>
                <w:sz w:val="16"/>
                <w:szCs w:val="16"/>
              </w:rPr>
            </w:pPr>
          </w:p>
        </w:tc>
        <w:tc>
          <w:tcPr>
            <w:tcW w:w="1134" w:type="dxa"/>
            <w:vAlign w:val="center"/>
          </w:tcPr>
          <w:p w14:paraId="00427188">
            <w:pPr>
              <w:pStyle w:val="25"/>
              <w:spacing w:line="240" w:lineRule="exact"/>
              <w:ind w:firstLine="0" w:firstLineChars="0"/>
              <w:jc w:val="center"/>
              <w:rPr>
                <w:sz w:val="16"/>
                <w:szCs w:val="16"/>
              </w:rPr>
            </w:pPr>
            <w:r>
              <w:rPr>
                <w:rFonts w:hint="eastAsia"/>
                <w:sz w:val="16"/>
                <w:szCs w:val="16"/>
              </w:rPr>
              <w:t>A</w:t>
            </w:r>
            <w:r>
              <w:rPr>
                <w:sz w:val="16"/>
                <w:szCs w:val="16"/>
              </w:rPr>
              <w:t>2</w:t>
            </w:r>
          </w:p>
        </w:tc>
        <w:tc>
          <w:tcPr>
            <w:tcW w:w="1276" w:type="dxa"/>
            <w:vAlign w:val="center"/>
          </w:tcPr>
          <w:p w14:paraId="100A31EB">
            <w:pPr>
              <w:pStyle w:val="25"/>
              <w:spacing w:line="240" w:lineRule="exact"/>
              <w:ind w:firstLine="0" w:firstLineChars="0"/>
              <w:jc w:val="center"/>
              <w:rPr>
                <w:sz w:val="16"/>
                <w:szCs w:val="16"/>
              </w:rPr>
            </w:pPr>
          </w:p>
        </w:tc>
        <w:tc>
          <w:tcPr>
            <w:tcW w:w="851" w:type="dxa"/>
            <w:vAlign w:val="center"/>
          </w:tcPr>
          <w:p w14:paraId="7229D119">
            <w:pPr>
              <w:pStyle w:val="25"/>
              <w:spacing w:line="240" w:lineRule="exact"/>
              <w:ind w:firstLine="0" w:firstLineChars="0"/>
              <w:jc w:val="center"/>
              <w:rPr>
                <w:sz w:val="16"/>
                <w:szCs w:val="16"/>
              </w:rPr>
            </w:pPr>
          </w:p>
        </w:tc>
        <w:tc>
          <w:tcPr>
            <w:tcW w:w="850" w:type="dxa"/>
            <w:vAlign w:val="center"/>
          </w:tcPr>
          <w:p w14:paraId="4947944A">
            <w:pPr>
              <w:pStyle w:val="25"/>
              <w:spacing w:line="240" w:lineRule="exact"/>
              <w:ind w:firstLine="0" w:firstLineChars="0"/>
              <w:jc w:val="center"/>
              <w:rPr>
                <w:sz w:val="16"/>
                <w:szCs w:val="16"/>
              </w:rPr>
            </w:pPr>
          </w:p>
        </w:tc>
        <w:tc>
          <w:tcPr>
            <w:tcW w:w="1134" w:type="dxa"/>
            <w:vAlign w:val="center"/>
          </w:tcPr>
          <w:p w14:paraId="5A10AFA0">
            <w:pPr>
              <w:pStyle w:val="25"/>
              <w:spacing w:line="240" w:lineRule="exact"/>
              <w:ind w:firstLine="0" w:firstLineChars="0"/>
              <w:jc w:val="center"/>
              <w:rPr>
                <w:sz w:val="16"/>
                <w:szCs w:val="16"/>
              </w:rPr>
            </w:pPr>
          </w:p>
        </w:tc>
        <w:tc>
          <w:tcPr>
            <w:tcW w:w="1382" w:type="dxa"/>
            <w:vAlign w:val="center"/>
          </w:tcPr>
          <w:p w14:paraId="4D2E77AC">
            <w:pPr>
              <w:pStyle w:val="25"/>
              <w:spacing w:line="240" w:lineRule="exact"/>
              <w:ind w:firstLine="0" w:firstLineChars="0"/>
              <w:jc w:val="center"/>
              <w:rPr>
                <w:sz w:val="16"/>
                <w:szCs w:val="16"/>
              </w:rPr>
            </w:pPr>
          </w:p>
        </w:tc>
      </w:tr>
      <w:tr w14:paraId="5813CD4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continue"/>
            <w:vAlign w:val="center"/>
          </w:tcPr>
          <w:p w14:paraId="65E6FD6C">
            <w:pPr>
              <w:pStyle w:val="25"/>
              <w:spacing w:line="240" w:lineRule="exact"/>
              <w:ind w:firstLine="0" w:firstLineChars="0"/>
              <w:jc w:val="center"/>
              <w:rPr>
                <w:sz w:val="16"/>
                <w:szCs w:val="16"/>
              </w:rPr>
            </w:pPr>
          </w:p>
        </w:tc>
        <w:tc>
          <w:tcPr>
            <w:tcW w:w="1059" w:type="dxa"/>
            <w:vMerge w:val="continue"/>
            <w:vAlign w:val="center"/>
          </w:tcPr>
          <w:p w14:paraId="699513A4">
            <w:pPr>
              <w:pStyle w:val="25"/>
              <w:spacing w:line="240" w:lineRule="exact"/>
              <w:ind w:firstLine="0" w:firstLineChars="0"/>
              <w:jc w:val="center"/>
              <w:rPr>
                <w:sz w:val="16"/>
                <w:szCs w:val="16"/>
              </w:rPr>
            </w:pPr>
          </w:p>
        </w:tc>
        <w:tc>
          <w:tcPr>
            <w:tcW w:w="1134" w:type="dxa"/>
            <w:vAlign w:val="center"/>
          </w:tcPr>
          <w:p w14:paraId="171F5AA4">
            <w:pPr>
              <w:pStyle w:val="25"/>
              <w:spacing w:line="240" w:lineRule="exact"/>
              <w:ind w:firstLine="0" w:firstLineChars="0"/>
              <w:jc w:val="center"/>
              <w:rPr>
                <w:sz w:val="16"/>
                <w:szCs w:val="16"/>
              </w:rPr>
            </w:pPr>
            <w:r>
              <w:rPr>
                <w:rFonts w:ascii="Times New Roman"/>
                <w:sz w:val="16"/>
                <w:szCs w:val="16"/>
              </w:rPr>
              <w:t>⁞</w:t>
            </w:r>
          </w:p>
        </w:tc>
        <w:tc>
          <w:tcPr>
            <w:tcW w:w="1276" w:type="dxa"/>
            <w:vAlign w:val="center"/>
          </w:tcPr>
          <w:p w14:paraId="28E4F3D0">
            <w:pPr>
              <w:pStyle w:val="25"/>
              <w:spacing w:line="240" w:lineRule="exact"/>
              <w:ind w:firstLine="0" w:firstLineChars="0"/>
              <w:jc w:val="center"/>
              <w:rPr>
                <w:sz w:val="16"/>
                <w:szCs w:val="16"/>
              </w:rPr>
            </w:pPr>
          </w:p>
        </w:tc>
        <w:tc>
          <w:tcPr>
            <w:tcW w:w="851" w:type="dxa"/>
            <w:vAlign w:val="center"/>
          </w:tcPr>
          <w:p w14:paraId="726A28CF">
            <w:pPr>
              <w:pStyle w:val="25"/>
              <w:spacing w:line="240" w:lineRule="exact"/>
              <w:ind w:firstLine="0" w:firstLineChars="0"/>
              <w:jc w:val="center"/>
              <w:rPr>
                <w:sz w:val="16"/>
                <w:szCs w:val="16"/>
              </w:rPr>
            </w:pPr>
          </w:p>
        </w:tc>
        <w:tc>
          <w:tcPr>
            <w:tcW w:w="850" w:type="dxa"/>
            <w:vAlign w:val="center"/>
          </w:tcPr>
          <w:p w14:paraId="6DAC7A84">
            <w:pPr>
              <w:pStyle w:val="25"/>
              <w:spacing w:line="240" w:lineRule="exact"/>
              <w:ind w:firstLine="0" w:firstLineChars="0"/>
              <w:jc w:val="center"/>
              <w:rPr>
                <w:sz w:val="16"/>
                <w:szCs w:val="16"/>
              </w:rPr>
            </w:pPr>
          </w:p>
        </w:tc>
        <w:tc>
          <w:tcPr>
            <w:tcW w:w="1134" w:type="dxa"/>
            <w:vAlign w:val="center"/>
          </w:tcPr>
          <w:p w14:paraId="0CE51AC2">
            <w:pPr>
              <w:pStyle w:val="25"/>
              <w:spacing w:line="240" w:lineRule="exact"/>
              <w:ind w:firstLine="0" w:firstLineChars="0"/>
              <w:jc w:val="center"/>
              <w:rPr>
                <w:sz w:val="16"/>
                <w:szCs w:val="16"/>
              </w:rPr>
            </w:pPr>
          </w:p>
        </w:tc>
        <w:tc>
          <w:tcPr>
            <w:tcW w:w="1382" w:type="dxa"/>
            <w:vAlign w:val="center"/>
          </w:tcPr>
          <w:p w14:paraId="4C40413E">
            <w:pPr>
              <w:pStyle w:val="25"/>
              <w:spacing w:line="240" w:lineRule="exact"/>
              <w:ind w:firstLine="0" w:firstLineChars="0"/>
              <w:jc w:val="center"/>
              <w:rPr>
                <w:sz w:val="16"/>
                <w:szCs w:val="16"/>
              </w:rPr>
            </w:pPr>
          </w:p>
        </w:tc>
      </w:tr>
      <w:tr w14:paraId="39D5F6A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750" w:type="dxa"/>
            <w:vMerge w:val="continue"/>
            <w:vAlign w:val="center"/>
          </w:tcPr>
          <w:p w14:paraId="0AB6E9E6">
            <w:pPr>
              <w:pStyle w:val="25"/>
              <w:spacing w:line="240" w:lineRule="exact"/>
              <w:ind w:firstLine="0" w:firstLineChars="0"/>
              <w:jc w:val="center"/>
              <w:rPr>
                <w:sz w:val="16"/>
                <w:szCs w:val="16"/>
              </w:rPr>
            </w:pPr>
          </w:p>
        </w:tc>
        <w:tc>
          <w:tcPr>
            <w:tcW w:w="1059" w:type="dxa"/>
            <w:vMerge w:val="continue"/>
            <w:vAlign w:val="center"/>
          </w:tcPr>
          <w:p w14:paraId="2637CC83">
            <w:pPr>
              <w:pStyle w:val="25"/>
              <w:spacing w:line="240" w:lineRule="exact"/>
              <w:ind w:firstLine="0" w:firstLineChars="0"/>
              <w:jc w:val="center"/>
              <w:rPr>
                <w:sz w:val="16"/>
                <w:szCs w:val="16"/>
              </w:rPr>
            </w:pPr>
          </w:p>
        </w:tc>
        <w:tc>
          <w:tcPr>
            <w:tcW w:w="1134" w:type="dxa"/>
            <w:vAlign w:val="center"/>
          </w:tcPr>
          <w:p w14:paraId="45AD7AA8">
            <w:pPr>
              <w:pStyle w:val="25"/>
              <w:spacing w:line="240" w:lineRule="exact"/>
              <w:ind w:firstLine="0" w:firstLineChars="0"/>
              <w:jc w:val="center"/>
              <w:rPr>
                <w:sz w:val="16"/>
                <w:szCs w:val="16"/>
              </w:rPr>
            </w:pPr>
            <w:r>
              <w:rPr>
                <w:rFonts w:hint="eastAsia"/>
                <w:sz w:val="16"/>
                <w:szCs w:val="16"/>
              </w:rPr>
              <w:t>A</w:t>
            </w:r>
            <w:r>
              <w:rPr>
                <w:sz w:val="16"/>
                <w:szCs w:val="16"/>
              </w:rPr>
              <w:t>n</w:t>
            </w:r>
          </w:p>
        </w:tc>
        <w:tc>
          <w:tcPr>
            <w:tcW w:w="1276" w:type="dxa"/>
            <w:vAlign w:val="center"/>
          </w:tcPr>
          <w:p w14:paraId="2B475A4C">
            <w:pPr>
              <w:pStyle w:val="25"/>
              <w:spacing w:line="240" w:lineRule="exact"/>
              <w:ind w:firstLine="0" w:firstLineChars="0"/>
              <w:jc w:val="center"/>
              <w:rPr>
                <w:sz w:val="16"/>
                <w:szCs w:val="16"/>
              </w:rPr>
            </w:pPr>
          </w:p>
        </w:tc>
        <w:tc>
          <w:tcPr>
            <w:tcW w:w="851" w:type="dxa"/>
            <w:vAlign w:val="center"/>
          </w:tcPr>
          <w:p w14:paraId="6B5FD239">
            <w:pPr>
              <w:pStyle w:val="25"/>
              <w:spacing w:line="240" w:lineRule="exact"/>
              <w:ind w:firstLine="0" w:firstLineChars="0"/>
              <w:jc w:val="center"/>
              <w:rPr>
                <w:sz w:val="16"/>
                <w:szCs w:val="16"/>
              </w:rPr>
            </w:pPr>
          </w:p>
        </w:tc>
        <w:tc>
          <w:tcPr>
            <w:tcW w:w="850" w:type="dxa"/>
            <w:vAlign w:val="center"/>
          </w:tcPr>
          <w:p w14:paraId="5610D2E3">
            <w:pPr>
              <w:pStyle w:val="25"/>
              <w:spacing w:line="240" w:lineRule="exact"/>
              <w:ind w:firstLine="0" w:firstLineChars="0"/>
              <w:jc w:val="center"/>
              <w:rPr>
                <w:sz w:val="16"/>
                <w:szCs w:val="16"/>
              </w:rPr>
            </w:pPr>
          </w:p>
        </w:tc>
        <w:tc>
          <w:tcPr>
            <w:tcW w:w="1134" w:type="dxa"/>
            <w:vAlign w:val="center"/>
          </w:tcPr>
          <w:p w14:paraId="5E7723CE">
            <w:pPr>
              <w:pStyle w:val="25"/>
              <w:spacing w:line="240" w:lineRule="exact"/>
              <w:ind w:firstLine="0" w:firstLineChars="0"/>
              <w:jc w:val="center"/>
              <w:rPr>
                <w:sz w:val="16"/>
                <w:szCs w:val="16"/>
              </w:rPr>
            </w:pPr>
          </w:p>
        </w:tc>
        <w:tc>
          <w:tcPr>
            <w:tcW w:w="1382" w:type="dxa"/>
            <w:vAlign w:val="center"/>
          </w:tcPr>
          <w:p w14:paraId="1BA591C5">
            <w:pPr>
              <w:pStyle w:val="25"/>
              <w:spacing w:line="240" w:lineRule="exact"/>
              <w:ind w:firstLine="0" w:firstLineChars="0"/>
              <w:jc w:val="center"/>
              <w:rPr>
                <w:sz w:val="16"/>
                <w:szCs w:val="16"/>
              </w:rPr>
            </w:pPr>
          </w:p>
        </w:tc>
      </w:tr>
    </w:tbl>
    <w:p w14:paraId="606528F5">
      <w:pPr>
        <w:pStyle w:val="25"/>
        <w:spacing w:before="156" w:beforeLines="50"/>
      </w:pPr>
      <w:r>
        <w:rPr>
          <w:rFonts w:hint="eastAsia"/>
        </w:rPr>
        <w:t>质量评价信息库应用：信息库建立后，利用系统与差异化抽检准则进行匹配。</w:t>
      </w:r>
    </w:p>
    <w:p w14:paraId="23E11E3D">
      <w:pPr>
        <w:pStyle w:val="45"/>
        <w:spacing w:before="312" w:after="312"/>
        <w:ind w:left="0"/>
        <w:outlineLvl w:val="0"/>
      </w:pPr>
      <w:bookmarkStart w:id="72" w:name="_Toc102557403"/>
      <w:r>
        <w:rPr>
          <w:rFonts w:hint="eastAsia"/>
        </w:rPr>
        <w:t>到货抽检</w:t>
      </w:r>
      <w:bookmarkEnd w:id="72"/>
    </w:p>
    <w:p w14:paraId="0E51DED5">
      <w:pPr>
        <w:pStyle w:val="25"/>
      </w:pPr>
      <w:r>
        <w:rPr>
          <w:rFonts w:hint="eastAsia"/>
        </w:rPr>
        <w:t>按规定的抽检方法和检测项目在指定地点对供应商供货设备进行抽样检验。</w:t>
      </w:r>
    </w:p>
    <w:p w14:paraId="75DE4E98">
      <w:pPr>
        <w:pStyle w:val="42"/>
        <w:spacing w:before="156" w:after="156"/>
        <w:ind w:left="0"/>
        <w:outlineLvl w:val="9"/>
      </w:pPr>
      <w:r>
        <w:rPr>
          <w:rFonts w:hint="eastAsia"/>
        </w:rPr>
        <w:t>抽检方法</w:t>
      </w:r>
    </w:p>
    <w:p w14:paraId="6C7A066A">
      <w:pPr>
        <w:pStyle w:val="25"/>
        <w:spacing w:before="156" w:beforeLines="50" w:after="156" w:afterLines="50"/>
        <w:ind w:firstLine="0" w:firstLineChars="0"/>
        <w:outlineLvl w:val="9"/>
        <w:rPr>
          <w:rFonts w:ascii="黑体" w:hAnsi="黑体" w:eastAsia="黑体"/>
        </w:rPr>
      </w:pPr>
      <w:r>
        <w:rPr>
          <w:rFonts w:hint="eastAsia" w:ascii="黑体" w:hAnsi="黑体" w:eastAsia="黑体"/>
        </w:rPr>
        <w:t>6</w:t>
      </w:r>
      <w:r>
        <w:rPr>
          <w:rFonts w:ascii="黑体" w:hAnsi="黑体" w:eastAsia="黑体"/>
        </w:rPr>
        <w:t>.1.1</w:t>
      </w:r>
      <w:r>
        <w:rPr>
          <w:rFonts w:hint="eastAsia" w:ascii="黑体" w:hAnsi="黑体" w:eastAsia="黑体"/>
        </w:rPr>
        <w:t xml:space="preserve">抽检原则 </w:t>
      </w:r>
    </w:p>
    <w:p w14:paraId="4EFE63EE">
      <w:pPr>
        <w:pStyle w:val="59"/>
        <w:numPr>
          <w:ilvl w:val="0"/>
          <w:numId w:val="0"/>
        </w:numPr>
        <w:ind w:left="845" w:hanging="419"/>
        <w:rPr>
          <w:color w:val="000000"/>
        </w:rPr>
      </w:pPr>
      <w:r>
        <w:rPr>
          <w:rFonts w:hint="eastAsia"/>
          <w:color w:val="000000"/>
        </w:rPr>
        <w:t>1）10kV配网用高压开关柜和油浸式变压器抽检原则</w:t>
      </w:r>
    </w:p>
    <w:p w14:paraId="2055119D">
      <w:pPr>
        <w:pStyle w:val="59"/>
        <w:numPr>
          <w:ilvl w:val="0"/>
          <w:numId w:val="0"/>
        </w:numPr>
        <w:ind w:left="845" w:hanging="419"/>
        <w:rPr>
          <w:color w:val="000000"/>
        </w:rPr>
      </w:pPr>
      <w:r>
        <w:rPr>
          <w:color w:val="000000"/>
        </w:rPr>
        <w:t>a</w:t>
      </w:r>
      <w:r>
        <w:rPr>
          <w:rFonts w:hint="eastAsia"/>
          <w:color w:val="000000"/>
        </w:rPr>
        <w:t>）抽检范围需覆盖所有供货供应商，并在所辖范围内覆盖所有供货型号。</w:t>
      </w:r>
    </w:p>
    <w:p w14:paraId="32ABD1E9">
      <w:pPr>
        <w:pStyle w:val="59"/>
        <w:numPr>
          <w:ilvl w:val="0"/>
          <w:numId w:val="0"/>
        </w:numPr>
        <w:ind w:left="845" w:hanging="419"/>
        <w:rPr>
          <w:color w:val="000000"/>
        </w:rPr>
      </w:pPr>
      <w:r>
        <w:rPr>
          <w:color w:val="000000"/>
        </w:rPr>
        <w:t>b</w:t>
      </w:r>
      <w:r>
        <w:rPr>
          <w:rFonts w:hint="eastAsia"/>
          <w:color w:val="000000"/>
        </w:rPr>
        <w:t>）以同一个厂家、同一个合同、同一时期交货的同一型号产品为一个供货批，抽检批在供货批</w:t>
      </w:r>
    </w:p>
    <w:p w14:paraId="370EE055">
      <w:pPr>
        <w:pStyle w:val="59"/>
        <w:numPr>
          <w:ilvl w:val="0"/>
          <w:numId w:val="0"/>
        </w:numPr>
        <w:rPr>
          <w:color w:val="000000"/>
        </w:rPr>
      </w:pPr>
      <w:r>
        <w:rPr>
          <w:rFonts w:hint="eastAsia"/>
          <w:color w:val="000000"/>
        </w:rPr>
        <w:t>中随机选取。</w:t>
      </w:r>
    </w:p>
    <w:p w14:paraId="50C0EBA1">
      <w:pPr>
        <w:pStyle w:val="59"/>
        <w:numPr>
          <w:ilvl w:val="0"/>
          <w:numId w:val="0"/>
        </w:numPr>
        <w:ind w:left="845" w:hanging="419"/>
        <w:rPr>
          <w:color w:val="000000"/>
        </w:rPr>
      </w:pPr>
      <w:r>
        <w:rPr>
          <w:color w:val="000000"/>
        </w:rPr>
        <w:t>c</w:t>
      </w:r>
      <w:r>
        <w:rPr>
          <w:rFonts w:hint="eastAsia"/>
          <w:color w:val="000000"/>
        </w:rPr>
        <w:t>）若出现抽检不合格，同一供应商的后续连续三个批次的产品必须抽检。</w:t>
      </w:r>
    </w:p>
    <w:p w14:paraId="141C55A9">
      <w:pPr>
        <w:pStyle w:val="59"/>
        <w:numPr>
          <w:ilvl w:val="0"/>
          <w:numId w:val="0"/>
        </w:numPr>
        <w:ind w:left="845" w:hanging="419"/>
        <w:rPr>
          <w:color w:val="000000"/>
        </w:rPr>
      </w:pPr>
      <w:r>
        <w:rPr>
          <w:color w:val="000000"/>
        </w:rPr>
        <w:t>d</w:t>
      </w:r>
      <w:r>
        <w:rPr>
          <w:rFonts w:hint="eastAsia"/>
          <w:color w:val="000000"/>
        </w:rPr>
        <w:t>）对于上年度出现过到货抽检不合格的供应商产品重点抽检。</w:t>
      </w:r>
    </w:p>
    <w:p w14:paraId="5FBB16CE">
      <w:pPr>
        <w:pStyle w:val="59"/>
        <w:numPr>
          <w:ilvl w:val="0"/>
          <w:numId w:val="0"/>
        </w:numPr>
        <w:tabs>
          <w:tab w:val="clear" w:pos="846"/>
        </w:tabs>
        <w:ind w:left="845" w:hanging="419"/>
        <w:rPr>
          <w:color w:val="000000"/>
        </w:rPr>
      </w:pPr>
      <w:r>
        <w:rPr>
          <w:color w:val="000000"/>
        </w:rPr>
        <w:t>e</w:t>
      </w:r>
      <w:r>
        <w:rPr>
          <w:rFonts w:hint="eastAsia"/>
          <w:color w:val="000000"/>
        </w:rPr>
        <w:t>）抽检样品在抽检批中随机选取，抽检基数≤1</w:t>
      </w:r>
      <w:r>
        <w:rPr>
          <w:color w:val="000000"/>
        </w:rPr>
        <w:t>0</w:t>
      </w:r>
      <w:r>
        <w:rPr>
          <w:rFonts w:hint="eastAsia"/>
          <w:color w:val="000000"/>
        </w:rPr>
        <w:t>台/件，抽1台</w:t>
      </w:r>
      <w:bookmarkStart w:id="73" w:name="_Hlk105617582"/>
      <w:r>
        <w:rPr>
          <w:rFonts w:hint="eastAsia"/>
          <w:color w:val="000000"/>
        </w:rPr>
        <w:t>；1</w:t>
      </w:r>
      <w:r>
        <w:rPr>
          <w:color w:val="000000"/>
        </w:rPr>
        <w:t>0</w:t>
      </w:r>
      <w:r>
        <w:rPr>
          <w:rFonts w:hint="eastAsia"/>
          <w:color w:val="000000"/>
        </w:rPr>
        <w:t>台＜抽检基数≤</w:t>
      </w:r>
      <w:r>
        <w:rPr>
          <w:color w:val="000000"/>
        </w:rPr>
        <w:t>20</w:t>
      </w:r>
      <w:r>
        <w:rPr>
          <w:rFonts w:hint="eastAsia"/>
          <w:color w:val="000000"/>
        </w:rPr>
        <w:t>台</w:t>
      </w:r>
      <w:bookmarkEnd w:id="73"/>
      <w:r>
        <w:rPr>
          <w:rFonts w:hint="eastAsia"/>
          <w:color w:val="000000"/>
        </w:rPr>
        <w:t>，抽</w:t>
      </w:r>
    </w:p>
    <w:p w14:paraId="3C3B6F2F">
      <w:pPr>
        <w:pStyle w:val="59"/>
        <w:numPr>
          <w:ilvl w:val="0"/>
          <w:numId w:val="0"/>
        </w:numPr>
        <w:tabs>
          <w:tab w:val="clear" w:pos="846"/>
        </w:tabs>
      </w:pPr>
      <w:r>
        <w:rPr>
          <w:rFonts w:hint="eastAsia"/>
          <w:color w:val="000000"/>
        </w:rPr>
        <w:t>2台/件；</w:t>
      </w:r>
      <w:r>
        <w:rPr>
          <w:rFonts w:hint="eastAsia"/>
        </w:rPr>
        <w:t>抽检基数＞20</w:t>
      </w:r>
      <w:bookmarkStart w:id="74" w:name="_Hlk105617611"/>
      <w:r>
        <w:rPr>
          <w:rFonts w:hint="eastAsia"/>
          <w:color w:val="auto"/>
        </w:rPr>
        <w:t>台/件</w:t>
      </w:r>
      <w:bookmarkEnd w:id="74"/>
      <w:r>
        <w:rPr>
          <w:rFonts w:hint="eastAsia"/>
          <w:color w:val="auto"/>
        </w:rPr>
        <w:t>，</w:t>
      </w:r>
      <w:r>
        <w:rPr>
          <w:rFonts w:hint="eastAsia"/>
        </w:rPr>
        <w:t>抽3台。</w:t>
      </w:r>
      <w:r>
        <w:rPr>
          <w:rFonts w:hint="eastAsia"/>
          <w:color w:val="auto"/>
        </w:rPr>
        <w:t>检测项目、抽检频次和抽检数量根据供应商设备质</w:t>
      </w:r>
      <w:r>
        <w:rPr>
          <w:rFonts w:hint="eastAsia"/>
          <w:color w:val="auto"/>
        </w:rPr>
        <w:t>量情况按第</w:t>
      </w:r>
      <w:r>
        <w:rPr>
          <w:color w:val="auto"/>
        </w:rPr>
        <w:t>8</w:t>
      </w:r>
      <w:r>
        <w:rPr>
          <w:rFonts w:hint="eastAsia"/>
          <w:color w:val="auto"/>
        </w:rPr>
        <w:t>章规定进行调整</w:t>
      </w:r>
      <w:r>
        <w:rPr>
          <w:rFonts w:hint="eastAsia"/>
          <w:color w:val="auto"/>
        </w:rPr>
        <w:t>。</w:t>
      </w:r>
    </w:p>
    <w:p w14:paraId="53A23F6C">
      <w:pPr>
        <w:pStyle w:val="59"/>
        <w:numPr>
          <w:ilvl w:val="0"/>
          <w:numId w:val="0"/>
        </w:numPr>
        <w:tabs>
          <w:tab w:val="clear" w:pos="846"/>
        </w:tabs>
        <w:ind w:left="0" w:firstLine="420"/>
      </w:pPr>
      <w:r>
        <w:t>2</w:t>
      </w:r>
      <w:r>
        <w:rPr>
          <w:rFonts w:hint="eastAsia"/>
          <w:highlight w:val="none"/>
        </w:rPr>
        <w:t>）</w:t>
      </w:r>
      <w:r>
        <w:rPr>
          <w:rFonts w:hint="eastAsia"/>
        </w:rPr>
        <w:t>10kV电力电缆抽检</w:t>
      </w:r>
      <w:r>
        <w:rPr>
          <w:rFonts w:hint="eastAsia"/>
          <w:highlight w:val="none"/>
        </w:rPr>
        <w:t>原则</w:t>
      </w:r>
    </w:p>
    <w:p w14:paraId="5B756D38">
      <w:pPr>
        <w:widowControl/>
        <w:tabs>
          <w:tab w:val="center" w:pos="4201"/>
          <w:tab w:val="right" w:leader="dot" w:pos="9298"/>
        </w:tabs>
        <w:autoSpaceDE w:val="0"/>
        <w:autoSpaceDN w:val="0"/>
        <w:spacing w:after="156" w:afterLines="50"/>
        <w:ind w:firstLine="420" w:firstLineChars="200"/>
        <w:rPr>
          <w:rFonts w:ascii="宋体"/>
          <w:kern w:val="0"/>
          <w:szCs w:val="20"/>
        </w:rPr>
      </w:pPr>
      <w:r>
        <w:rPr>
          <w:rFonts w:hint="eastAsia" w:ascii="宋体"/>
          <w:kern w:val="0"/>
          <w:szCs w:val="20"/>
        </w:rPr>
        <w:t>a）10kV电力电缆抽样试验样品数量如表7</w:t>
      </w:r>
      <w:r>
        <w:rPr>
          <w:rFonts w:ascii="宋体"/>
          <w:kern w:val="0"/>
          <w:szCs w:val="20"/>
        </w:rPr>
        <w:t>.</w:t>
      </w:r>
      <w:r>
        <w:rPr>
          <w:rFonts w:hint="eastAsia" w:ascii="宋体"/>
          <w:kern w:val="0"/>
          <w:szCs w:val="20"/>
        </w:rPr>
        <w:t>所示，当抽检样品数量大于1时，应在抽检批中随机选取相应数量的不同盘（捆）截取。</w:t>
      </w:r>
    </w:p>
    <w:p w14:paraId="2E4F498F">
      <w:pPr>
        <w:pStyle w:val="25"/>
        <w:spacing w:before="156" w:beforeLines="50" w:after="156" w:afterLines="50"/>
        <w:ind w:firstLine="0" w:firstLineChars="0"/>
        <w:jc w:val="center"/>
        <w:rPr>
          <w:rFonts w:ascii="黑体" w:hAnsi="黑体" w:eastAsia="黑体"/>
          <w:kern w:val="0"/>
          <w:szCs w:val="21"/>
        </w:rPr>
      </w:pPr>
      <w:r>
        <w:rPr>
          <w:rFonts w:hint="eastAsia" w:ascii="黑体" w:hAnsi="黑体" w:eastAsia="黑体"/>
          <w:szCs w:val="21"/>
        </w:rPr>
        <w:t>表</w:t>
      </w:r>
      <w:r>
        <w:rPr>
          <w:rFonts w:ascii="黑体" w:hAnsi="黑体" w:eastAsia="黑体"/>
          <w:szCs w:val="21"/>
        </w:rPr>
        <w:t>7. 10kV</w:t>
      </w:r>
      <w:r>
        <w:rPr>
          <w:rFonts w:hint="eastAsia" w:ascii="黑体" w:hAnsi="黑体" w:eastAsia="黑体"/>
          <w:szCs w:val="21"/>
        </w:rPr>
        <w:t>电力电缆抽检数量</w:t>
      </w:r>
    </w:p>
    <w:tbl>
      <w:tblPr>
        <w:tblStyle w:val="34"/>
        <w:tblW w:w="841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079"/>
        <w:gridCol w:w="1788"/>
        <w:gridCol w:w="1652"/>
        <w:gridCol w:w="1569"/>
        <w:gridCol w:w="1326"/>
      </w:tblGrid>
      <w:tr w14:paraId="192425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7088" w:type="dxa"/>
            <w:gridSpan w:val="4"/>
            <w:shd w:val="clear" w:color="auto" w:fill="auto"/>
            <w:vAlign w:val="center"/>
          </w:tcPr>
          <w:p w14:paraId="42EBE0C6">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电缆长度/km</w:t>
            </w:r>
          </w:p>
        </w:tc>
        <w:tc>
          <w:tcPr>
            <w:tcW w:w="1326" w:type="dxa"/>
            <w:vMerge w:val="restart"/>
            <w:shd w:val="clear" w:color="auto" w:fill="auto"/>
            <w:vAlign w:val="center"/>
          </w:tcPr>
          <w:p w14:paraId="6E1AE731">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样品数</w:t>
            </w:r>
          </w:p>
        </w:tc>
      </w:tr>
      <w:tr w14:paraId="20C89F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1" w:hRule="atLeast"/>
          <w:jc w:val="center"/>
        </w:trPr>
        <w:tc>
          <w:tcPr>
            <w:tcW w:w="3867" w:type="dxa"/>
            <w:gridSpan w:val="2"/>
            <w:tcBorders>
              <w:bottom w:val="single" w:color="auto" w:sz="6" w:space="0"/>
            </w:tcBorders>
            <w:shd w:val="clear" w:color="auto" w:fill="auto"/>
            <w:vAlign w:val="center"/>
          </w:tcPr>
          <w:p w14:paraId="1ACA418D">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三芯电缆</w:t>
            </w:r>
          </w:p>
        </w:tc>
        <w:tc>
          <w:tcPr>
            <w:tcW w:w="3221" w:type="dxa"/>
            <w:gridSpan w:val="2"/>
            <w:tcBorders>
              <w:bottom w:val="single" w:color="auto" w:sz="6" w:space="0"/>
            </w:tcBorders>
            <w:shd w:val="clear" w:color="auto" w:fill="auto"/>
            <w:vAlign w:val="center"/>
          </w:tcPr>
          <w:p w14:paraId="5C41742B">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单芯电缆</w:t>
            </w:r>
          </w:p>
        </w:tc>
        <w:tc>
          <w:tcPr>
            <w:tcW w:w="1326" w:type="dxa"/>
            <w:vMerge w:val="continue"/>
            <w:tcBorders>
              <w:bottom w:val="single" w:color="auto" w:sz="6" w:space="0"/>
            </w:tcBorders>
            <w:shd w:val="clear" w:color="auto" w:fill="auto"/>
            <w:vAlign w:val="center"/>
          </w:tcPr>
          <w:p w14:paraId="56128D6E">
            <w:pPr>
              <w:spacing w:line="360" w:lineRule="auto"/>
              <w:jc w:val="center"/>
              <w:rPr>
                <w:rFonts w:asciiTheme="majorEastAsia" w:hAnsiTheme="majorEastAsia" w:eastAsiaTheme="majorEastAsia"/>
                <w:sz w:val="16"/>
                <w:szCs w:val="16"/>
              </w:rPr>
            </w:pPr>
          </w:p>
        </w:tc>
      </w:tr>
      <w:tr w14:paraId="719D57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jc w:val="center"/>
        </w:trPr>
        <w:tc>
          <w:tcPr>
            <w:tcW w:w="2079" w:type="dxa"/>
            <w:tcBorders>
              <w:top w:val="single" w:color="auto" w:sz="6" w:space="0"/>
              <w:bottom w:val="single" w:color="auto" w:sz="4" w:space="0"/>
            </w:tcBorders>
            <w:shd w:val="clear" w:color="auto" w:fill="auto"/>
            <w:vAlign w:val="center"/>
          </w:tcPr>
          <w:p w14:paraId="4BA7A2CA">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＞0</w:t>
            </w:r>
          </w:p>
        </w:tc>
        <w:tc>
          <w:tcPr>
            <w:tcW w:w="1788" w:type="dxa"/>
            <w:tcBorders>
              <w:top w:val="single" w:color="auto" w:sz="6" w:space="0"/>
              <w:bottom w:val="single" w:color="auto" w:sz="6" w:space="0"/>
            </w:tcBorders>
            <w:shd w:val="clear" w:color="auto" w:fill="auto"/>
            <w:vAlign w:val="center"/>
          </w:tcPr>
          <w:p w14:paraId="791CEA02">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≤10</w:t>
            </w:r>
          </w:p>
        </w:tc>
        <w:tc>
          <w:tcPr>
            <w:tcW w:w="1652" w:type="dxa"/>
            <w:tcBorders>
              <w:top w:val="single" w:color="auto" w:sz="6" w:space="0"/>
              <w:bottom w:val="single" w:color="auto" w:sz="6" w:space="0"/>
            </w:tcBorders>
            <w:shd w:val="clear" w:color="auto" w:fill="auto"/>
            <w:vAlign w:val="center"/>
          </w:tcPr>
          <w:p w14:paraId="654A4BA1">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＞0</w:t>
            </w:r>
          </w:p>
        </w:tc>
        <w:tc>
          <w:tcPr>
            <w:tcW w:w="1569" w:type="dxa"/>
            <w:tcBorders>
              <w:top w:val="single" w:color="auto" w:sz="6" w:space="0"/>
              <w:bottom w:val="single" w:color="auto" w:sz="6" w:space="0"/>
            </w:tcBorders>
            <w:shd w:val="clear" w:color="auto" w:fill="auto"/>
            <w:vAlign w:val="center"/>
          </w:tcPr>
          <w:p w14:paraId="6E4457E5">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≤20</w:t>
            </w:r>
          </w:p>
        </w:tc>
        <w:tc>
          <w:tcPr>
            <w:tcW w:w="1326" w:type="dxa"/>
            <w:tcBorders>
              <w:top w:val="single" w:color="auto" w:sz="6" w:space="0"/>
              <w:bottom w:val="single" w:color="auto" w:sz="6" w:space="0"/>
            </w:tcBorders>
            <w:shd w:val="clear" w:color="auto" w:fill="auto"/>
            <w:vAlign w:val="center"/>
          </w:tcPr>
          <w:p w14:paraId="4EECE86C">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1</w:t>
            </w:r>
          </w:p>
        </w:tc>
      </w:tr>
      <w:tr w14:paraId="48FF1E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2079" w:type="dxa"/>
            <w:tcBorders>
              <w:top w:val="single" w:color="auto" w:sz="4" w:space="0"/>
              <w:bottom w:val="single" w:color="auto" w:sz="4" w:space="0"/>
            </w:tcBorders>
            <w:shd w:val="clear" w:color="auto" w:fill="auto"/>
            <w:vAlign w:val="center"/>
          </w:tcPr>
          <w:p w14:paraId="3C2D8CB6">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＞10</w:t>
            </w:r>
          </w:p>
        </w:tc>
        <w:tc>
          <w:tcPr>
            <w:tcW w:w="1788" w:type="dxa"/>
            <w:tcBorders>
              <w:top w:val="single" w:color="auto" w:sz="6" w:space="0"/>
            </w:tcBorders>
            <w:shd w:val="clear" w:color="auto" w:fill="auto"/>
            <w:vAlign w:val="center"/>
          </w:tcPr>
          <w:p w14:paraId="3A7BFAC2">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≤20</w:t>
            </w:r>
          </w:p>
        </w:tc>
        <w:tc>
          <w:tcPr>
            <w:tcW w:w="1652" w:type="dxa"/>
            <w:tcBorders>
              <w:top w:val="single" w:color="auto" w:sz="6" w:space="0"/>
            </w:tcBorders>
            <w:shd w:val="clear" w:color="auto" w:fill="auto"/>
            <w:vAlign w:val="center"/>
          </w:tcPr>
          <w:p w14:paraId="414FB9BF">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＞20</w:t>
            </w:r>
          </w:p>
        </w:tc>
        <w:tc>
          <w:tcPr>
            <w:tcW w:w="1569" w:type="dxa"/>
            <w:tcBorders>
              <w:top w:val="single" w:color="auto" w:sz="6" w:space="0"/>
            </w:tcBorders>
            <w:shd w:val="clear" w:color="auto" w:fill="auto"/>
            <w:vAlign w:val="center"/>
          </w:tcPr>
          <w:p w14:paraId="2A95A2FD">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≤40</w:t>
            </w:r>
          </w:p>
        </w:tc>
        <w:tc>
          <w:tcPr>
            <w:tcW w:w="1326" w:type="dxa"/>
            <w:tcBorders>
              <w:top w:val="single" w:color="auto" w:sz="6" w:space="0"/>
            </w:tcBorders>
            <w:shd w:val="clear" w:color="auto" w:fill="auto"/>
            <w:vAlign w:val="center"/>
          </w:tcPr>
          <w:p w14:paraId="499A8C24">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2</w:t>
            </w:r>
          </w:p>
        </w:tc>
      </w:tr>
      <w:tr w14:paraId="5635F1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1" w:hRule="atLeast"/>
          <w:jc w:val="center"/>
        </w:trPr>
        <w:tc>
          <w:tcPr>
            <w:tcW w:w="2079" w:type="dxa"/>
            <w:tcBorders>
              <w:top w:val="single" w:color="auto" w:sz="4" w:space="0"/>
            </w:tcBorders>
            <w:shd w:val="clear" w:color="auto" w:fill="auto"/>
            <w:vAlign w:val="center"/>
          </w:tcPr>
          <w:p w14:paraId="7E4DF451">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＞20</w:t>
            </w:r>
          </w:p>
        </w:tc>
        <w:tc>
          <w:tcPr>
            <w:tcW w:w="1788" w:type="dxa"/>
            <w:shd w:val="clear" w:color="auto" w:fill="auto"/>
            <w:vAlign w:val="center"/>
          </w:tcPr>
          <w:p w14:paraId="0FA2B0B4">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≤30</w:t>
            </w:r>
          </w:p>
        </w:tc>
        <w:tc>
          <w:tcPr>
            <w:tcW w:w="1652" w:type="dxa"/>
            <w:shd w:val="clear" w:color="auto" w:fill="auto"/>
            <w:vAlign w:val="center"/>
          </w:tcPr>
          <w:p w14:paraId="6F61A4CE">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＞40</w:t>
            </w:r>
          </w:p>
        </w:tc>
        <w:tc>
          <w:tcPr>
            <w:tcW w:w="1569" w:type="dxa"/>
            <w:shd w:val="clear" w:color="auto" w:fill="auto"/>
            <w:vAlign w:val="center"/>
          </w:tcPr>
          <w:p w14:paraId="0FFC749D">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≤60</w:t>
            </w:r>
          </w:p>
        </w:tc>
        <w:tc>
          <w:tcPr>
            <w:tcW w:w="1326" w:type="dxa"/>
            <w:shd w:val="clear" w:color="auto" w:fill="auto"/>
            <w:vAlign w:val="center"/>
          </w:tcPr>
          <w:p w14:paraId="63127596">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3</w:t>
            </w:r>
          </w:p>
        </w:tc>
      </w:tr>
      <w:tr w14:paraId="2DD82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3867" w:type="dxa"/>
            <w:gridSpan w:val="2"/>
            <w:shd w:val="clear" w:color="auto" w:fill="auto"/>
            <w:vAlign w:val="center"/>
          </w:tcPr>
          <w:p w14:paraId="6E7BDF0D">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其余类推</w:t>
            </w:r>
          </w:p>
        </w:tc>
        <w:tc>
          <w:tcPr>
            <w:tcW w:w="3221" w:type="dxa"/>
            <w:gridSpan w:val="2"/>
            <w:shd w:val="clear" w:color="auto" w:fill="auto"/>
            <w:vAlign w:val="center"/>
          </w:tcPr>
          <w:p w14:paraId="2128EA9D">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其余类推</w:t>
            </w:r>
          </w:p>
        </w:tc>
        <w:tc>
          <w:tcPr>
            <w:tcW w:w="1326" w:type="dxa"/>
            <w:shd w:val="clear" w:color="auto" w:fill="auto"/>
            <w:vAlign w:val="center"/>
          </w:tcPr>
          <w:p w14:paraId="39BD4A4C">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其余类推</w:t>
            </w:r>
          </w:p>
        </w:tc>
      </w:tr>
      <w:tr w14:paraId="378745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83" w:hRule="atLeast"/>
          <w:jc w:val="center"/>
        </w:trPr>
        <w:tc>
          <w:tcPr>
            <w:tcW w:w="8414" w:type="dxa"/>
            <w:gridSpan w:val="5"/>
            <w:shd w:val="clear" w:color="auto" w:fill="auto"/>
            <w:vAlign w:val="center"/>
          </w:tcPr>
          <w:p w14:paraId="586EE29C">
            <w:pPr>
              <w:jc w:val="left"/>
              <w:rPr>
                <w:rFonts w:asciiTheme="majorEastAsia" w:hAnsiTheme="majorEastAsia" w:eastAsiaTheme="majorEastAsia"/>
                <w:sz w:val="16"/>
                <w:szCs w:val="16"/>
              </w:rPr>
            </w:pPr>
            <w:r>
              <w:rPr>
                <w:rFonts w:hint="eastAsia" w:asciiTheme="majorEastAsia" w:hAnsiTheme="majorEastAsia" w:eastAsiaTheme="majorEastAsia"/>
                <w:sz w:val="16"/>
                <w:szCs w:val="16"/>
              </w:rPr>
              <w:t>备注：</w:t>
            </w:r>
          </w:p>
          <w:p w14:paraId="30F86778">
            <w:pPr>
              <w:jc w:val="left"/>
              <w:rPr>
                <w:rFonts w:asciiTheme="majorEastAsia" w:hAnsiTheme="majorEastAsia" w:eastAsiaTheme="majorEastAsia"/>
                <w:sz w:val="16"/>
                <w:szCs w:val="16"/>
              </w:rPr>
            </w:pPr>
            <w:r>
              <w:rPr>
                <w:rFonts w:hint="eastAsia" w:asciiTheme="majorEastAsia" w:hAnsiTheme="majorEastAsia" w:eastAsiaTheme="majorEastAsia"/>
                <w:sz w:val="16"/>
                <w:szCs w:val="16"/>
              </w:rPr>
              <w:t>1、若为三芯电缆，当总长度大于30千米时，每增加10千米则样品数在原基础上加1，超出但不足10千米部分对应增加1个样品；</w:t>
            </w:r>
          </w:p>
          <w:p w14:paraId="44A6368B">
            <w:pPr>
              <w:jc w:val="left"/>
              <w:rPr>
                <w:rFonts w:asciiTheme="majorEastAsia" w:hAnsiTheme="majorEastAsia" w:eastAsiaTheme="majorEastAsia"/>
                <w:sz w:val="16"/>
                <w:szCs w:val="16"/>
              </w:rPr>
            </w:pPr>
            <w:r>
              <w:rPr>
                <w:rFonts w:hint="eastAsia" w:asciiTheme="majorEastAsia" w:hAnsiTheme="majorEastAsia" w:eastAsiaTheme="majorEastAsia"/>
                <w:sz w:val="16"/>
                <w:szCs w:val="16"/>
              </w:rPr>
              <w:t>2、若为单芯电缆，当总长度大于60千米时，每增加20千米则样品数在原基础上加1，超出但不足20千米部分对应增加1个样品；</w:t>
            </w:r>
          </w:p>
        </w:tc>
      </w:tr>
    </w:tbl>
    <w:p w14:paraId="5B717D75">
      <w:pPr>
        <w:widowControl/>
        <w:tabs>
          <w:tab w:val="center" w:pos="4201"/>
          <w:tab w:val="right" w:leader="dot" w:pos="9298"/>
        </w:tabs>
        <w:autoSpaceDE w:val="0"/>
        <w:autoSpaceDN w:val="0"/>
        <w:spacing w:before="156" w:beforeLines="50" w:after="156" w:afterLines="50"/>
        <w:ind w:firstLine="420" w:firstLineChars="200"/>
        <w:rPr>
          <w:rFonts w:ascii="宋体"/>
          <w:kern w:val="0"/>
          <w:szCs w:val="20"/>
        </w:rPr>
      </w:pPr>
      <w:r>
        <w:rPr>
          <w:rFonts w:hint="eastAsia" w:ascii="宋体"/>
          <w:kern w:val="0"/>
          <w:szCs w:val="20"/>
        </w:rPr>
        <w:t>b）</w:t>
      </w:r>
      <w:r>
        <w:rPr>
          <w:rFonts w:ascii="宋体"/>
          <w:kern w:val="0"/>
          <w:szCs w:val="20"/>
        </w:rPr>
        <w:t>抽检样品取样长度见表8.</w:t>
      </w:r>
    </w:p>
    <w:p w14:paraId="15DD5EF4">
      <w:pPr>
        <w:widowControl/>
        <w:tabs>
          <w:tab w:val="center" w:pos="4201"/>
          <w:tab w:val="right" w:leader="dot" w:pos="9298"/>
        </w:tabs>
        <w:autoSpaceDE w:val="0"/>
        <w:autoSpaceDN w:val="0"/>
        <w:spacing w:before="156" w:beforeLines="50" w:after="156" w:afterLines="50"/>
        <w:ind w:firstLine="420" w:firstLineChars="200"/>
        <w:rPr>
          <w:rFonts w:ascii="宋体"/>
          <w:kern w:val="0"/>
          <w:szCs w:val="20"/>
        </w:rPr>
      </w:pPr>
    </w:p>
    <w:p w14:paraId="004E328B">
      <w:pPr>
        <w:widowControl/>
        <w:tabs>
          <w:tab w:val="center" w:pos="4201"/>
          <w:tab w:val="right" w:leader="dot" w:pos="9298"/>
        </w:tabs>
        <w:autoSpaceDE w:val="0"/>
        <w:autoSpaceDN w:val="0"/>
        <w:spacing w:before="156" w:beforeLines="50" w:after="156" w:afterLines="50"/>
        <w:ind w:firstLine="420" w:firstLineChars="200"/>
        <w:rPr>
          <w:rFonts w:ascii="宋体"/>
          <w:kern w:val="0"/>
          <w:szCs w:val="20"/>
        </w:rPr>
      </w:pPr>
    </w:p>
    <w:p w14:paraId="20929796">
      <w:pPr>
        <w:pStyle w:val="25"/>
        <w:spacing w:before="156" w:beforeLines="50" w:after="156" w:afterLines="50"/>
        <w:ind w:firstLine="0" w:firstLineChars="0"/>
        <w:jc w:val="center"/>
        <w:rPr>
          <w:rFonts w:ascii="黑体" w:hAnsi="黑体" w:eastAsia="黑体"/>
          <w:kern w:val="0"/>
          <w:szCs w:val="21"/>
        </w:rPr>
      </w:pPr>
      <w:r>
        <w:rPr>
          <w:rFonts w:hint="eastAsia" w:ascii="黑体" w:hAnsi="黑体" w:eastAsia="黑体"/>
          <w:szCs w:val="21"/>
        </w:rPr>
        <w:t>表</w:t>
      </w:r>
      <w:r>
        <w:rPr>
          <w:rFonts w:ascii="黑体" w:hAnsi="黑体" w:eastAsia="黑体"/>
          <w:szCs w:val="21"/>
        </w:rPr>
        <w:t>8.</w:t>
      </w:r>
      <w:r>
        <w:rPr>
          <w:rFonts w:hint="eastAsia" w:ascii="黑体" w:hAnsi="黑体" w:eastAsia="黑体"/>
          <w:szCs w:val="21"/>
        </w:rPr>
        <w:t xml:space="preserve"> 取样长度</w:t>
      </w:r>
    </w:p>
    <w:tbl>
      <w:tblPr>
        <w:tblStyle w:val="34"/>
        <w:tblW w:w="836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954"/>
        <w:gridCol w:w="2754"/>
        <w:gridCol w:w="4658"/>
      </w:tblGrid>
      <w:tr w14:paraId="6B616E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954" w:type="dxa"/>
          </w:tcPr>
          <w:p w14:paraId="2BE6DB01">
            <w:pPr>
              <w:spacing w:line="360" w:lineRule="auto"/>
              <w:jc w:val="center"/>
              <w:rPr>
                <w:rFonts w:asciiTheme="majorEastAsia" w:hAnsiTheme="majorEastAsia" w:eastAsiaTheme="majorEastAsia"/>
                <w:sz w:val="16"/>
                <w:szCs w:val="16"/>
              </w:rPr>
            </w:pPr>
            <w:r>
              <w:rPr>
                <w:rFonts w:asciiTheme="majorEastAsia" w:hAnsiTheme="majorEastAsia" w:eastAsiaTheme="majorEastAsia"/>
                <w:sz w:val="16"/>
                <w:szCs w:val="16"/>
              </w:rPr>
              <w:t>序号</w:t>
            </w:r>
          </w:p>
        </w:tc>
        <w:tc>
          <w:tcPr>
            <w:tcW w:w="2754" w:type="dxa"/>
            <w:vAlign w:val="center"/>
          </w:tcPr>
          <w:p w14:paraId="526C859C">
            <w:pPr>
              <w:spacing w:line="360" w:lineRule="auto"/>
              <w:jc w:val="center"/>
              <w:rPr>
                <w:rFonts w:asciiTheme="majorEastAsia" w:hAnsiTheme="majorEastAsia" w:eastAsiaTheme="majorEastAsia"/>
                <w:sz w:val="16"/>
                <w:szCs w:val="16"/>
              </w:rPr>
            </w:pPr>
            <w:r>
              <w:rPr>
                <w:rFonts w:asciiTheme="majorEastAsia" w:hAnsiTheme="majorEastAsia" w:eastAsiaTheme="majorEastAsia"/>
                <w:sz w:val="16"/>
                <w:szCs w:val="16"/>
              </w:rPr>
              <w:t>产品名称</w:t>
            </w:r>
          </w:p>
        </w:tc>
        <w:tc>
          <w:tcPr>
            <w:tcW w:w="4658" w:type="dxa"/>
            <w:vAlign w:val="center"/>
          </w:tcPr>
          <w:p w14:paraId="284EA01E">
            <w:pPr>
              <w:spacing w:line="360" w:lineRule="auto"/>
              <w:jc w:val="center"/>
              <w:rPr>
                <w:rFonts w:asciiTheme="majorEastAsia" w:hAnsiTheme="majorEastAsia" w:eastAsiaTheme="majorEastAsia"/>
                <w:sz w:val="16"/>
                <w:szCs w:val="16"/>
              </w:rPr>
            </w:pPr>
            <w:r>
              <w:rPr>
                <w:rFonts w:asciiTheme="majorEastAsia" w:hAnsiTheme="majorEastAsia" w:eastAsiaTheme="majorEastAsia"/>
                <w:sz w:val="16"/>
                <w:szCs w:val="16"/>
              </w:rPr>
              <w:t>取样长度（米）</w:t>
            </w:r>
          </w:p>
        </w:tc>
      </w:tr>
      <w:tr w14:paraId="386B30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954" w:type="dxa"/>
          </w:tcPr>
          <w:p w14:paraId="13E08DAA">
            <w:pPr>
              <w:spacing w:line="360" w:lineRule="auto"/>
              <w:jc w:val="center"/>
              <w:rPr>
                <w:rFonts w:asciiTheme="majorEastAsia" w:hAnsiTheme="majorEastAsia" w:eastAsiaTheme="majorEastAsia"/>
                <w:sz w:val="16"/>
                <w:szCs w:val="16"/>
              </w:rPr>
            </w:pPr>
            <w:r>
              <w:rPr>
                <w:rFonts w:asciiTheme="majorEastAsia" w:hAnsiTheme="majorEastAsia" w:eastAsiaTheme="majorEastAsia"/>
                <w:sz w:val="16"/>
                <w:szCs w:val="16"/>
              </w:rPr>
              <w:t>1</w:t>
            </w:r>
          </w:p>
        </w:tc>
        <w:tc>
          <w:tcPr>
            <w:tcW w:w="2754" w:type="dxa"/>
            <w:vAlign w:val="center"/>
          </w:tcPr>
          <w:p w14:paraId="28A774EC">
            <w:pPr>
              <w:spacing w:line="360" w:lineRule="auto"/>
              <w:ind w:firstLine="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10</w:t>
            </w:r>
            <w:r>
              <w:rPr>
                <w:rFonts w:asciiTheme="majorEastAsia" w:hAnsiTheme="majorEastAsia" w:eastAsiaTheme="majorEastAsia"/>
                <w:sz w:val="16"/>
                <w:szCs w:val="16"/>
              </w:rPr>
              <w:t>kV</w:t>
            </w:r>
            <w:r>
              <w:rPr>
                <w:rFonts w:hint="eastAsia" w:asciiTheme="majorEastAsia" w:hAnsiTheme="majorEastAsia" w:eastAsiaTheme="majorEastAsia"/>
                <w:sz w:val="16"/>
                <w:szCs w:val="16"/>
              </w:rPr>
              <w:t>电力</w:t>
            </w:r>
            <w:r>
              <w:rPr>
                <w:rFonts w:asciiTheme="majorEastAsia" w:hAnsiTheme="majorEastAsia" w:eastAsiaTheme="majorEastAsia"/>
                <w:sz w:val="16"/>
                <w:szCs w:val="16"/>
              </w:rPr>
              <w:t>电缆</w:t>
            </w:r>
          </w:p>
        </w:tc>
        <w:tc>
          <w:tcPr>
            <w:tcW w:w="4658" w:type="dxa"/>
            <w:vAlign w:val="center"/>
          </w:tcPr>
          <w:p w14:paraId="3B3D441F">
            <w:pPr>
              <w:spacing w:line="360" w:lineRule="auto"/>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2</w:t>
            </w:r>
          </w:p>
        </w:tc>
      </w:tr>
      <w:tr w14:paraId="43C5CE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8366" w:type="dxa"/>
            <w:gridSpan w:val="3"/>
          </w:tcPr>
          <w:p w14:paraId="03328285">
            <w:pPr>
              <w:spacing w:line="360" w:lineRule="auto"/>
              <w:jc w:val="center"/>
              <w:rPr>
                <w:rFonts w:asciiTheme="majorEastAsia" w:hAnsiTheme="majorEastAsia" w:eastAsiaTheme="majorEastAsia"/>
                <w:sz w:val="16"/>
                <w:szCs w:val="16"/>
              </w:rPr>
            </w:pPr>
            <w:r>
              <w:rPr>
                <w:rFonts w:asciiTheme="majorEastAsia" w:hAnsiTheme="majorEastAsia" w:eastAsiaTheme="majorEastAsia"/>
                <w:sz w:val="16"/>
                <w:szCs w:val="16"/>
              </w:rPr>
              <w:t xml:space="preserve">备注： </w:t>
            </w:r>
            <w:r>
              <w:rPr>
                <w:rFonts w:hint="eastAsia" w:asciiTheme="majorEastAsia" w:hAnsiTheme="majorEastAsia" w:eastAsiaTheme="majorEastAsia"/>
                <w:sz w:val="16"/>
                <w:szCs w:val="16"/>
              </w:rPr>
              <w:t>10</w:t>
            </w:r>
            <w:r>
              <w:rPr>
                <w:rFonts w:asciiTheme="majorEastAsia" w:hAnsiTheme="majorEastAsia" w:eastAsiaTheme="majorEastAsia"/>
                <w:sz w:val="16"/>
                <w:szCs w:val="16"/>
              </w:rPr>
              <w:t>kV电缆如需做可选项目，取样总长度为8米。</w:t>
            </w:r>
          </w:p>
        </w:tc>
      </w:tr>
    </w:tbl>
    <w:p w14:paraId="7E04DBFE">
      <w:pPr>
        <w:pStyle w:val="59"/>
        <w:numPr>
          <w:ilvl w:val="0"/>
          <w:numId w:val="0"/>
        </w:numPr>
        <w:tabs>
          <w:tab w:val="clear" w:pos="846"/>
        </w:tabs>
        <w:ind w:left="0" w:firstLine="420"/>
        <w:rPr>
          <w:color w:val="auto"/>
        </w:rPr>
      </w:pPr>
    </w:p>
    <w:p w14:paraId="6320CF31">
      <w:pPr>
        <w:pStyle w:val="25"/>
        <w:spacing w:before="156" w:beforeLines="50" w:after="156" w:afterLines="50"/>
        <w:ind w:firstLine="0" w:firstLineChars="0"/>
        <w:outlineLvl w:val="9"/>
        <w:rPr>
          <w:rFonts w:ascii="黑体" w:hAnsi="黑体" w:eastAsia="黑体"/>
        </w:rPr>
      </w:pPr>
      <w:r>
        <w:rPr>
          <w:rFonts w:hint="eastAsia" w:ascii="黑体" w:hAnsi="黑体" w:eastAsia="黑体"/>
        </w:rPr>
        <w:t>6</w:t>
      </w:r>
      <w:r>
        <w:rPr>
          <w:rFonts w:ascii="黑体" w:hAnsi="黑体" w:eastAsia="黑体"/>
        </w:rPr>
        <w:t>.1.2</w:t>
      </w:r>
      <w:r>
        <w:rPr>
          <w:rFonts w:hint="eastAsia" w:ascii="黑体" w:hAnsi="黑体" w:eastAsia="黑体"/>
        </w:rPr>
        <w:t xml:space="preserve">抽样方式 </w:t>
      </w:r>
    </w:p>
    <w:p w14:paraId="7CB9895A">
      <w:pPr>
        <w:pStyle w:val="59"/>
        <w:numPr>
          <w:ilvl w:val="0"/>
          <w:numId w:val="0"/>
        </w:numPr>
        <w:tabs>
          <w:tab w:val="clear" w:pos="846"/>
        </w:tabs>
        <w:ind w:firstLine="426"/>
      </w:pPr>
      <w:r>
        <w:rPr>
          <w:rFonts w:hint="eastAsia"/>
        </w:rPr>
        <w:t>对于在实验室检测的样品，抽检单位根据到货抽检抽样单，在抽检批中随机取样并送至指定检测地点，送样时应附上抽样单。对于在供应商或仓库（以下简称“现场”）进行检测的样品，抽样单位编制到货抽检抽样单，由抽样人员现场取样。</w:t>
      </w:r>
    </w:p>
    <w:p w14:paraId="74D739E1">
      <w:pPr>
        <w:pStyle w:val="25"/>
        <w:spacing w:before="156" w:beforeLines="50" w:after="156" w:afterLines="50"/>
        <w:ind w:firstLine="0" w:firstLineChars="0"/>
        <w:outlineLvl w:val="2"/>
        <w:rPr>
          <w:rFonts w:ascii="黑体" w:hAnsi="黑体" w:eastAsia="黑体"/>
        </w:rPr>
      </w:pPr>
      <w:bookmarkStart w:id="75" w:name="_Hlk88344084"/>
      <w:bookmarkStart w:id="76" w:name="_Hlk88343990"/>
      <w:r>
        <w:rPr>
          <w:rFonts w:hint="eastAsia" w:ascii="黑体" w:hAnsi="黑体" w:eastAsia="黑体"/>
        </w:rPr>
        <w:t>6</w:t>
      </w:r>
      <w:r>
        <w:rPr>
          <w:rFonts w:ascii="黑体" w:hAnsi="黑体" w:eastAsia="黑体"/>
        </w:rPr>
        <w:t>.1.3</w:t>
      </w:r>
      <w:r>
        <w:rPr>
          <w:rFonts w:hint="eastAsia" w:ascii="黑体" w:hAnsi="黑体" w:eastAsia="黑体"/>
        </w:rPr>
        <w:t>质量判别依据</w:t>
      </w:r>
    </w:p>
    <w:p w14:paraId="7FD45410">
      <w:pPr>
        <w:pStyle w:val="25"/>
        <w:rPr>
          <w:color w:val="000000"/>
        </w:rPr>
      </w:pPr>
      <w:r>
        <w:rPr>
          <w:rFonts w:hint="eastAsia"/>
          <w:color w:val="000000"/>
        </w:rPr>
        <w:t>设备材料的质量判断依据为被检产品的国家标准、行业标准和公司采购标准，当国家标准、行业标准与使用本规范的公司采购标准内容有矛盾时,应按要求最严格的条款执行或按双方商定的标准执行。</w:t>
      </w:r>
    </w:p>
    <w:bookmarkEnd w:id="75"/>
    <w:p w14:paraId="0FA9D63D">
      <w:pPr>
        <w:pStyle w:val="25"/>
        <w:spacing w:before="156" w:beforeLines="50" w:after="156" w:afterLines="50"/>
        <w:ind w:firstLine="0" w:firstLineChars="0"/>
        <w:outlineLvl w:val="9"/>
        <w:rPr>
          <w:rFonts w:ascii="黑体" w:hAnsi="黑体" w:eastAsia="黑体"/>
        </w:rPr>
      </w:pPr>
      <w:r>
        <w:rPr>
          <w:rFonts w:hint="eastAsia" w:ascii="黑体" w:hAnsi="黑体" w:eastAsia="黑体"/>
        </w:rPr>
        <w:t>6</w:t>
      </w:r>
      <w:r>
        <w:rPr>
          <w:rFonts w:ascii="黑体" w:hAnsi="黑体" w:eastAsia="黑体"/>
        </w:rPr>
        <w:t>.1.4</w:t>
      </w:r>
      <w:r>
        <w:rPr>
          <w:rFonts w:hint="eastAsia" w:ascii="黑体" w:hAnsi="黑体" w:eastAsia="黑体"/>
        </w:rPr>
        <w:t>判定原则</w:t>
      </w:r>
    </w:p>
    <w:p w14:paraId="018C8F59">
      <w:pPr>
        <w:pStyle w:val="25"/>
        <w:rPr>
          <w:color w:val="000000"/>
        </w:rPr>
      </w:pPr>
      <w:r>
        <w:rPr>
          <w:color w:val="000000"/>
        </w:rPr>
        <w:t>1</w:t>
      </w:r>
      <w:r>
        <w:rPr>
          <w:rFonts w:hint="eastAsia"/>
          <w:color w:val="000000"/>
        </w:rPr>
        <w:t>）抽检样品判定原则</w:t>
      </w:r>
    </w:p>
    <w:p w14:paraId="0863EAC1">
      <w:pPr>
        <w:pStyle w:val="25"/>
        <w:rPr>
          <w:color w:val="000000"/>
        </w:rPr>
      </w:pPr>
      <w:r>
        <w:rPr>
          <w:rFonts w:hint="eastAsia"/>
          <w:color w:val="000000"/>
        </w:rPr>
        <w:t>被检样品有一项检测项目不合格，则被检样品判定为不合格。</w:t>
      </w:r>
    </w:p>
    <w:p w14:paraId="7C31A209">
      <w:pPr>
        <w:pStyle w:val="25"/>
        <w:rPr>
          <w:color w:val="000000"/>
        </w:rPr>
      </w:pPr>
      <w:r>
        <w:rPr>
          <w:color w:val="000000"/>
        </w:rPr>
        <w:t>2</w:t>
      </w:r>
      <w:r>
        <w:rPr>
          <w:rFonts w:hint="eastAsia"/>
          <w:color w:val="000000"/>
        </w:rPr>
        <w:t>） 抽检批判定原则</w:t>
      </w:r>
    </w:p>
    <w:p w14:paraId="17223A41">
      <w:pPr>
        <w:pStyle w:val="25"/>
        <w:rPr>
          <w:color w:val="000000"/>
        </w:rPr>
      </w:pPr>
      <w:r>
        <w:rPr>
          <w:rFonts w:hint="eastAsia"/>
          <w:color w:val="000000"/>
        </w:rPr>
        <w:t>规定DQL=0，若抽检批中有1台及以上样品抽检不合格，则判定该抽检批产品拒收；若全部样品抽检合格，则判定该抽检批产品接收。设备材料的质量判断依据为被检产品的国家标准、行业标准和公司采购标准，当国家标准、行业标准与采购标准内容有矛盾时,应按要求最严格的条款执行或按双方商定的标准执行。</w:t>
      </w:r>
    </w:p>
    <w:bookmarkEnd w:id="76"/>
    <w:p w14:paraId="17219EF7">
      <w:pPr>
        <w:pStyle w:val="42"/>
        <w:spacing w:before="156" w:after="156"/>
        <w:ind w:left="0"/>
        <w:outlineLvl w:val="9"/>
      </w:pPr>
      <w:r>
        <w:rPr>
          <w:rFonts w:hint="eastAsia"/>
        </w:rPr>
        <w:t>检测项目与缺陷定级</w:t>
      </w:r>
    </w:p>
    <w:p w14:paraId="7FDC2AEA">
      <w:pPr>
        <w:pStyle w:val="25"/>
        <w:rPr>
          <w:color w:val="000000"/>
        </w:rPr>
      </w:pPr>
      <w:r>
        <w:rPr>
          <w:rFonts w:hint="eastAsia"/>
          <w:color w:val="000000"/>
        </w:rPr>
        <w:t>按照如下规定。</w:t>
      </w:r>
    </w:p>
    <w:p w14:paraId="2C98D8C8">
      <w:pPr>
        <w:widowControl/>
        <w:tabs>
          <w:tab w:val="center" w:pos="4201"/>
          <w:tab w:val="right" w:leader="dot" w:pos="9298"/>
        </w:tabs>
        <w:autoSpaceDE w:val="0"/>
        <w:autoSpaceDN w:val="0"/>
        <w:spacing w:before="156" w:beforeLines="50" w:after="156" w:afterLines="50"/>
        <w:rPr>
          <w:rFonts w:ascii="黑体" w:hAnsi="黑体" w:eastAsia="黑体"/>
          <w:kern w:val="0"/>
          <w:szCs w:val="20"/>
        </w:rPr>
      </w:pPr>
      <w:r>
        <w:rPr>
          <w:rFonts w:ascii="黑体" w:hAnsi="黑体" w:eastAsia="黑体"/>
          <w:kern w:val="0"/>
          <w:szCs w:val="20"/>
        </w:rPr>
        <w:t xml:space="preserve">6.2.1 </w:t>
      </w:r>
      <w:r>
        <w:rPr>
          <w:rFonts w:hint="eastAsia" w:ascii="黑体" w:hAnsi="黑体" w:eastAsia="黑体"/>
          <w:kern w:val="0"/>
          <w:szCs w:val="20"/>
        </w:rPr>
        <w:t>10kV电力电缆检测项目及缺陷定级</w:t>
      </w:r>
    </w:p>
    <w:p w14:paraId="48521297">
      <w:pPr>
        <w:pStyle w:val="25"/>
        <w:rPr>
          <w:color w:val="000000"/>
        </w:rPr>
      </w:pPr>
      <w:bookmarkStart w:id="77" w:name="_Hlk104224037"/>
      <w:bookmarkStart w:id="78" w:name="_Hlk104224082"/>
      <w:r>
        <w:rPr>
          <w:rFonts w:hint="eastAsia"/>
          <w:color w:val="000000"/>
        </w:rPr>
        <w:t>10kV电力电缆检测项目及缺陷定级</w:t>
      </w:r>
      <w:bookmarkEnd w:id="77"/>
      <w:r>
        <w:rPr>
          <w:rFonts w:hint="eastAsia"/>
          <w:color w:val="000000"/>
        </w:rPr>
        <w:t>如表9</w:t>
      </w:r>
      <w:r>
        <w:rPr>
          <w:color w:val="000000"/>
        </w:rPr>
        <w:t>.</w:t>
      </w:r>
      <w:r>
        <w:rPr>
          <w:rFonts w:hint="eastAsia"/>
          <w:color w:val="000000"/>
        </w:rPr>
        <w:t>所示：</w:t>
      </w:r>
    </w:p>
    <w:p w14:paraId="1EF68F46">
      <w:pPr>
        <w:pStyle w:val="25"/>
        <w:spacing w:before="156" w:beforeLines="50" w:after="156" w:afterLines="50"/>
        <w:ind w:firstLine="0" w:firstLineChars="0"/>
        <w:jc w:val="center"/>
        <w:rPr>
          <w:rFonts w:ascii="黑体" w:hAnsi="黑体" w:eastAsia="黑体"/>
          <w:szCs w:val="21"/>
        </w:rPr>
      </w:pPr>
      <w:r>
        <w:rPr>
          <w:rFonts w:hint="eastAsia" w:ascii="黑体" w:hAnsi="黑体" w:eastAsia="黑体"/>
          <w:color w:val="000000"/>
          <w:szCs w:val="21"/>
        </w:rPr>
        <w:t>表</w:t>
      </w:r>
      <w:r>
        <w:rPr>
          <w:rFonts w:ascii="黑体" w:hAnsi="黑体" w:eastAsia="黑体"/>
          <w:color w:val="000000"/>
          <w:szCs w:val="21"/>
        </w:rPr>
        <w:t>9.</w:t>
      </w:r>
      <w:r>
        <w:rPr>
          <w:rFonts w:ascii="黑体" w:hAnsi="黑体" w:eastAsia="黑体"/>
          <w:szCs w:val="21"/>
        </w:rPr>
        <w:t xml:space="preserve"> </w:t>
      </w:r>
      <w:r>
        <w:rPr>
          <w:rFonts w:ascii="黑体" w:hAnsi="黑体" w:eastAsia="黑体"/>
          <w:color w:val="000000"/>
          <w:szCs w:val="21"/>
        </w:rPr>
        <w:t>10kV</w:t>
      </w:r>
      <w:r>
        <w:rPr>
          <w:rFonts w:hint="eastAsia" w:ascii="黑体" w:hAnsi="黑体" w:eastAsia="黑体"/>
          <w:color w:val="000000"/>
          <w:szCs w:val="21"/>
        </w:rPr>
        <w:t>电力电缆检测项目及缺陷定级</w:t>
      </w:r>
    </w:p>
    <w:bookmarkEnd w:id="78"/>
    <w:tbl>
      <w:tblPr>
        <w:tblStyle w:val="34"/>
        <w:tblW w:w="852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195"/>
        <w:gridCol w:w="3416"/>
        <w:gridCol w:w="1812"/>
        <w:gridCol w:w="1392"/>
      </w:tblGrid>
      <w:tr w14:paraId="3B42F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707" w:type="dxa"/>
            <w:vAlign w:val="center"/>
          </w:tcPr>
          <w:p w14:paraId="7EC138A9">
            <w:pPr>
              <w:widowControl/>
              <w:jc w:val="center"/>
              <w:rPr>
                <w:rFonts w:ascii="黑体" w:hAnsi="黑体" w:eastAsia="黑体"/>
                <w:b/>
                <w:bCs/>
                <w:kern w:val="0"/>
                <w:sz w:val="18"/>
                <w:szCs w:val="18"/>
              </w:rPr>
            </w:pPr>
            <w:r>
              <w:rPr>
                <w:rFonts w:ascii="黑体" w:hAnsi="黑体" w:eastAsia="黑体"/>
                <w:b/>
                <w:bCs/>
                <w:kern w:val="0"/>
                <w:sz w:val="18"/>
                <w:szCs w:val="18"/>
              </w:rPr>
              <w:t>序号</w:t>
            </w:r>
          </w:p>
        </w:tc>
        <w:tc>
          <w:tcPr>
            <w:tcW w:w="1195" w:type="dxa"/>
            <w:vAlign w:val="center"/>
          </w:tcPr>
          <w:p w14:paraId="55A79A96">
            <w:pPr>
              <w:widowControl/>
              <w:jc w:val="center"/>
              <w:rPr>
                <w:rFonts w:ascii="黑体" w:hAnsi="黑体" w:eastAsia="黑体"/>
                <w:b/>
                <w:bCs/>
                <w:kern w:val="0"/>
                <w:sz w:val="18"/>
                <w:szCs w:val="18"/>
              </w:rPr>
            </w:pPr>
            <w:r>
              <w:rPr>
                <w:rFonts w:hint="eastAsia" w:ascii="黑体" w:hAnsi="黑体" w:eastAsia="黑体"/>
                <w:b/>
                <w:bCs/>
                <w:kern w:val="0"/>
                <w:sz w:val="18"/>
                <w:szCs w:val="18"/>
              </w:rPr>
              <w:t>检测</w:t>
            </w:r>
            <w:r>
              <w:rPr>
                <w:rFonts w:ascii="黑体" w:hAnsi="黑体" w:eastAsia="黑体"/>
                <w:b/>
                <w:bCs/>
                <w:kern w:val="0"/>
                <w:sz w:val="18"/>
                <w:szCs w:val="18"/>
              </w:rPr>
              <w:t>项目</w:t>
            </w:r>
          </w:p>
        </w:tc>
        <w:tc>
          <w:tcPr>
            <w:tcW w:w="3416" w:type="dxa"/>
            <w:vAlign w:val="center"/>
          </w:tcPr>
          <w:p w14:paraId="19E25B9D">
            <w:pPr>
              <w:jc w:val="center"/>
              <w:rPr>
                <w:rFonts w:ascii="黑体" w:hAnsi="黑体" w:eastAsia="黑体"/>
                <w:b/>
                <w:bCs/>
                <w:kern w:val="0"/>
                <w:sz w:val="18"/>
                <w:szCs w:val="18"/>
              </w:rPr>
            </w:pPr>
            <w:r>
              <w:rPr>
                <w:rFonts w:ascii="黑体" w:hAnsi="黑体" w:eastAsia="黑体"/>
                <w:b/>
                <w:bCs/>
                <w:kern w:val="0"/>
                <w:sz w:val="18"/>
                <w:szCs w:val="18"/>
              </w:rPr>
              <w:t>标 准 要 求</w:t>
            </w:r>
          </w:p>
        </w:tc>
        <w:tc>
          <w:tcPr>
            <w:tcW w:w="1812" w:type="dxa"/>
            <w:vAlign w:val="center"/>
          </w:tcPr>
          <w:p w14:paraId="1BE157D3">
            <w:pPr>
              <w:widowControl/>
              <w:jc w:val="center"/>
              <w:rPr>
                <w:rFonts w:ascii="黑体" w:hAnsi="黑体" w:eastAsia="黑体"/>
                <w:b/>
                <w:bCs/>
                <w:kern w:val="0"/>
                <w:sz w:val="18"/>
                <w:szCs w:val="18"/>
              </w:rPr>
            </w:pPr>
            <w:r>
              <w:rPr>
                <w:rFonts w:ascii="黑体" w:hAnsi="黑体" w:eastAsia="黑体"/>
                <w:b/>
                <w:bCs/>
                <w:kern w:val="0"/>
                <w:sz w:val="18"/>
                <w:szCs w:val="18"/>
              </w:rPr>
              <w:t>标准依据</w:t>
            </w:r>
          </w:p>
        </w:tc>
        <w:tc>
          <w:tcPr>
            <w:tcW w:w="1392" w:type="dxa"/>
            <w:vAlign w:val="center"/>
          </w:tcPr>
          <w:p w14:paraId="2EF2FF90">
            <w:pPr>
              <w:jc w:val="center"/>
              <w:rPr>
                <w:rFonts w:ascii="黑体" w:hAnsi="黑体" w:eastAsia="黑体"/>
                <w:b/>
                <w:bCs/>
                <w:kern w:val="0"/>
                <w:sz w:val="18"/>
                <w:szCs w:val="18"/>
              </w:rPr>
            </w:pPr>
            <w:r>
              <w:rPr>
                <w:rFonts w:hint="eastAsia" w:ascii="黑体" w:hAnsi="黑体" w:eastAsia="黑体"/>
                <w:b/>
                <w:bCs/>
                <w:kern w:val="0"/>
                <w:sz w:val="18"/>
                <w:szCs w:val="18"/>
              </w:rPr>
              <w:t>缺陷定级</w:t>
            </w:r>
          </w:p>
        </w:tc>
      </w:tr>
      <w:tr w14:paraId="259AF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07" w:type="dxa"/>
            <w:vAlign w:val="center"/>
          </w:tcPr>
          <w:p w14:paraId="13EAD9E4">
            <w:pPr>
              <w:widowControl/>
              <w:jc w:val="center"/>
              <w:rPr>
                <w:kern w:val="0"/>
                <w:sz w:val="18"/>
                <w:szCs w:val="18"/>
              </w:rPr>
            </w:pPr>
            <w:r>
              <w:rPr>
                <w:rFonts w:hint="eastAsia"/>
                <w:kern w:val="0"/>
                <w:sz w:val="18"/>
                <w:szCs w:val="18"/>
              </w:rPr>
              <w:t>1</w:t>
            </w:r>
          </w:p>
        </w:tc>
        <w:tc>
          <w:tcPr>
            <w:tcW w:w="1195" w:type="dxa"/>
            <w:vAlign w:val="center"/>
          </w:tcPr>
          <w:p w14:paraId="33B5B720">
            <w:pPr>
              <w:widowControl/>
              <w:jc w:val="center"/>
              <w:rPr>
                <w:kern w:val="0"/>
                <w:sz w:val="18"/>
                <w:szCs w:val="18"/>
              </w:rPr>
            </w:pPr>
            <w:r>
              <w:rPr>
                <w:kern w:val="0"/>
                <w:sz w:val="18"/>
                <w:szCs w:val="18"/>
              </w:rPr>
              <w:t>导体单丝根数</w:t>
            </w:r>
          </w:p>
        </w:tc>
        <w:tc>
          <w:tcPr>
            <w:tcW w:w="3416" w:type="dxa"/>
            <w:vAlign w:val="center"/>
          </w:tcPr>
          <w:p w14:paraId="5D3F2269">
            <w:pPr>
              <w:widowControl/>
              <w:jc w:val="left"/>
              <w:rPr>
                <w:kern w:val="0"/>
                <w:sz w:val="18"/>
                <w:szCs w:val="18"/>
              </w:rPr>
            </w:pPr>
            <w:r>
              <w:rPr>
                <w:kern w:val="0"/>
                <w:sz w:val="18"/>
                <w:szCs w:val="18"/>
              </w:rPr>
              <w:t>见GB/T 3956-2008表2</w:t>
            </w:r>
          </w:p>
        </w:tc>
        <w:tc>
          <w:tcPr>
            <w:tcW w:w="1812" w:type="dxa"/>
            <w:vAlign w:val="center"/>
          </w:tcPr>
          <w:p w14:paraId="5A18038A">
            <w:pPr>
              <w:widowControl/>
              <w:jc w:val="left"/>
              <w:rPr>
                <w:kern w:val="0"/>
                <w:sz w:val="18"/>
                <w:szCs w:val="18"/>
              </w:rPr>
            </w:pPr>
            <w:r>
              <w:rPr>
                <w:kern w:val="0"/>
                <w:sz w:val="18"/>
                <w:szCs w:val="18"/>
              </w:rPr>
              <w:t>GB/T 3956-2008表2</w:t>
            </w:r>
          </w:p>
        </w:tc>
        <w:tc>
          <w:tcPr>
            <w:tcW w:w="1392" w:type="dxa"/>
            <w:vAlign w:val="center"/>
          </w:tcPr>
          <w:p w14:paraId="664CA676">
            <w:pPr>
              <w:widowControl/>
              <w:jc w:val="center"/>
              <w:rPr>
                <w:kern w:val="0"/>
                <w:sz w:val="18"/>
                <w:szCs w:val="18"/>
              </w:rPr>
            </w:pPr>
            <w:r>
              <w:rPr>
                <w:kern w:val="0"/>
                <w:sz w:val="18"/>
                <w:szCs w:val="18"/>
              </w:rPr>
              <w:t>B类</w:t>
            </w:r>
          </w:p>
        </w:tc>
      </w:tr>
      <w:tr w14:paraId="12E79B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07" w:type="dxa"/>
            <w:vAlign w:val="center"/>
          </w:tcPr>
          <w:p w14:paraId="45A39072">
            <w:pPr>
              <w:widowControl/>
              <w:jc w:val="center"/>
              <w:rPr>
                <w:kern w:val="0"/>
                <w:sz w:val="18"/>
                <w:szCs w:val="18"/>
              </w:rPr>
            </w:pPr>
            <w:r>
              <w:rPr>
                <w:rFonts w:hint="eastAsia"/>
                <w:kern w:val="0"/>
                <w:sz w:val="18"/>
                <w:szCs w:val="18"/>
              </w:rPr>
              <w:t>2</w:t>
            </w:r>
          </w:p>
        </w:tc>
        <w:tc>
          <w:tcPr>
            <w:tcW w:w="1195" w:type="dxa"/>
            <w:vAlign w:val="center"/>
          </w:tcPr>
          <w:p w14:paraId="2EE932BE">
            <w:pPr>
              <w:widowControl/>
              <w:jc w:val="center"/>
              <w:rPr>
                <w:kern w:val="0"/>
                <w:sz w:val="18"/>
                <w:szCs w:val="18"/>
              </w:rPr>
            </w:pPr>
            <w:r>
              <w:rPr>
                <w:kern w:val="0"/>
                <w:sz w:val="18"/>
                <w:szCs w:val="18"/>
              </w:rPr>
              <w:t>导体直径</w:t>
            </w:r>
          </w:p>
        </w:tc>
        <w:tc>
          <w:tcPr>
            <w:tcW w:w="3416" w:type="dxa"/>
            <w:vAlign w:val="center"/>
          </w:tcPr>
          <w:p w14:paraId="434C67E2">
            <w:pPr>
              <w:widowControl/>
              <w:jc w:val="left"/>
              <w:rPr>
                <w:bCs/>
                <w:kern w:val="0"/>
                <w:sz w:val="18"/>
                <w:szCs w:val="18"/>
              </w:rPr>
            </w:pPr>
            <w:r>
              <w:rPr>
                <w:bCs/>
                <w:kern w:val="0"/>
                <w:sz w:val="18"/>
                <w:szCs w:val="18"/>
              </w:rPr>
              <w:t>见</w:t>
            </w:r>
            <w:r>
              <w:rPr>
                <w:kern w:val="0"/>
                <w:sz w:val="18"/>
                <w:szCs w:val="18"/>
              </w:rPr>
              <w:t>GB/T 3956-2008表</w:t>
            </w:r>
            <w:r>
              <w:rPr>
                <w:rFonts w:hint="eastAsia"/>
                <w:kern w:val="0"/>
                <w:sz w:val="18"/>
                <w:szCs w:val="18"/>
              </w:rPr>
              <w:t>C.</w:t>
            </w:r>
            <w:r>
              <w:rPr>
                <w:kern w:val="0"/>
                <w:sz w:val="18"/>
                <w:szCs w:val="18"/>
              </w:rPr>
              <w:t>2</w:t>
            </w:r>
          </w:p>
        </w:tc>
        <w:tc>
          <w:tcPr>
            <w:tcW w:w="1812" w:type="dxa"/>
            <w:vAlign w:val="center"/>
          </w:tcPr>
          <w:p w14:paraId="653A202B">
            <w:pPr>
              <w:widowControl/>
              <w:jc w:val="left"/>
              <w:rPr>
                <w:sz w:val="18"/>
                <w:szCs w:val="18"/>
              </w:rPr>
            </w:pPr>
            <w:r>
              <w:rPr>
                <w:kern w:val="0"/>
                <w:sz w:val="18"/>
                <w:szCs w:val="18"/>
              </w:rPr>
              <w:t>GB/T 3956-2008表</w:t>
            </w:r>
            <w:r>
              <w:rPr>
                <w:rFonts w:hint="eastAsia"/>
                <w:kern w:val="0"/>
                <w:sz w:val="18"/>
                <w:szCs w:val="18"/>
              </w:rPr>
              <w:t>C.</w:t>
            </w:r>
            <w:r>
              <w:rPr>
                <w:kern w:val="0"/>
                <w:sz w:val="18"/>
                <w:szCs w:val="18"/>
              </w:rPr>
              <w:t>2</w:t>
            </w:r>
          </w:p>
        </w:tc>
        <w:tc>
          <w:tcPr>
            <w:tcW w:w="1392" w:type="dxa"/>
            <w:vAlign w:val="center"/>
          </w:tcPr>
          <w:p w14:paraId="01F0EE03">
            <w:pPr>
              <w:widowControl/>
              <w:jc w:val="center"/>
              <w:rPr>
                <w:kern w:val="0"/>
                <w:sz w:val="18"/>
                <w:szCs w:val="18"/>
              </w:rPr>
            </w:pPr>
            <w:r>
              <w:rPr>
                <w:bCs/>
                <w:kern w:val="0"/>
                <w:sz w:val="18"/>
                <w:szCs w:val="18"/>
              </w:rPr>
              <w:t>B类</w:t>
            </w:r>
          </w:p>
        </w:tc>
      </w:tr>
      <w:tr w14:paraId="675425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07" w:type="dxa"/>
            <w:vAlign w:val="center"/>
          </w:tcPr>
          <w:p w14:paraId="5A379ACE">
            <w:pPr>
              <w:widowControl/>
              <w:jc w:val="center"/>
              <w:rPr>
                <w:kern w:val="0"/>
                <w:sz w:val="18"/>
                <w:szCs w:val="18"/>
              </w:rPr>
            </w:pPr>
            <w:r>
              <w:rPr>
                <w:rFonts w:hint="eastAsia"/>
                <w:kern w:val="0"/>
                <w:sz w:val="18"/>
                <w:szCs w:val="18"/>
              </w:rPr>
              <w:t>3</w:t>
            </w:r>
          </w:p>
        </w:tc>
        <w:tc>
          <w:tcPr>
            <w:tcW w:w="1195" w:type="dxa"/>
            <w:vAlign w:val="center"/>
          </w:tcPr>
          <w:p w14:paraId="223AC2CE">
            <w:pPr>
              <w:widowControl/>
              <w:jc w:val="center"/>
              <w:rPr>
                <w:kern w:val="0"/>
                <w:sz w:val="18"/>
                <w:szCs w:val="18"/>
              </w:rPr>
            </w:pPr>
            <w:r>
              <w:rPr>
                <w:rFonts w:ascii="Calibri" w:hAnsi="Calibri"/>
                <w:sz w:val="18"/>
                <w:szCs w:val="18"/>
              </w:rPr>
              <w:t>导体屏蔽厚度</w:t>
            </w:r>
          </w:p>
        </w:tc>
        <w:tc>
          <w:tcPr>
            <w:tcW w:w="3416" w:type="dxa"/>
            <w:vAlign w:val="center"/>
          </w:tcPr>
          <w:p w14:paraId="435016E0">
            <w:pPr>
              <w:widowControl/>
              <w:jc w:val="left"/>
              <w:rPr>
                <w:bCs/>
                <w:kern w:val="0"/>
                <w:sz w:val="18"/>
                <w:szCs w:val="18"/>
              </w:rPr>
            </w:pPr>
            <w:r>
              <w:rPr>
                <w:rFonts w:hint="eastAsia"/>
                <w:bCs/>
                <w:kern w:val="0"/>
                <w:sz w:val="18"/>
                <w:szCs w:val="18"/>
              </w:rPr>
              <w:t>屏蔽标称厚度为0.8mm，平均厚度不小于0.8mm，最薄处厚度不小于0.7 mm。</w:t>
            </w:r>
          </w:p>
        </w:tc>
        <w:tc>
          <w:tcPr>
            <w:tcW w:w="1812" w:type="dxa"/>
            <w:vAlign w:val="center"/>
          </w:tcPr>
          <w:p w14:paraId="728A787F">
            <w:pPr>
              <w:widowControl/>
              <w:jc w:val="left"/>
              <w:rPr>
                <w:sz w:val="18"/>
                <w:szCs w:val="18"/>
              </w:rPr>
            </w:pPr>
            <w:r>
              <w:rPr>
                <w:sz w:val="18"/>
                <w:szCs w:val="18"/>
              </w:rPr>
              <w:t>GB/T12706.2-2008</w:t>
            </w:r>
          </w:p>
        </w:tc>
        <w:tc>
          <w:tcPr>
            <w:tcW w:w="1392" w:type="dxa"/>
            <w:vAlign w:val="center"/>
          </w:tcPr>
          <w:p w14:paraId="453D9A45">
            <w:pPr>
              <w:widowControl/>
              <w:jc w:val="center"/>
              <w:rPr>
                <w:kern w:val="0"/>
                <w:sz w:val="18"/>
                <w:szCs w:val="18"/>
              </w:rPr>
            </w:pPr>
            <w:r>
              <w:rPr>
                <w:sz w:val="18"/>
                <w:szCs w:val="18"/>
              </w:rPr>
              <w:t>C类</w:t>
            </w:r>
          </w:p>
        </w:tc>
      </w:tr>
      <w:tr w14:paraId="5D2CF7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07" w:type="dxa"/>
            <w:vAlign w:val="center"/>
          </w:tcPr>
          <w:p w14:paraId="223EEAC8">
            <w:pPr>
              <w:widowControl/>
              <w:jc w:val="center"/>
              <w:rPr>
                <w:kern w:val="0"/>
                <w:sz w:val="18"/>
                <w:szCs w:val="18"/>
              </w:rPr>
            </w:pPr>
            <w:r>
              <w:rPr>
                <w:rFonts w:hint="eastAsia"/>
                <w:kern w:val="0"/>
                <w:sz w:val="18"/>
                <w:szCs w:val="18"/>
              </w:rPr>
              <w:t>4</w:t>
            </w:r>
          </w:p>
        </w:tc>
        <w:tc>
          <w:tcPr>
            <w:tcW w:w="1195" w:type="dxa"/>
            <w:vAlign w:val="center"/>
          </w:tcPr>
          <w:p w14:paraId="62C1C8A8">
            <w:pPr>
              <w:widowControl/>
              <w:jc w:val="center"/>
              <w:rPr>
                <w:kern w:val="0"/>
                <w:sz w:val="18"/>
                <w:szCs w:val="18"/>
              </w:rPr>
            </w:pPr>
            <w:r>
              <w:rPr>
                <w:rFonts w:ascii="Calibri" w:hAnsi="Calibri"/>
                <w:sz w:val="18"/>
                <w:szCs w:val="18"/>
              </w:rPr>
              <w:t>导体屏蔽电阻率</w:t>
            </w:r>
          </w:p>
        </w:tc>
        <w:tc>
          <w:tcPr>
            <w:tcW w:w="3416" w:type="dxa"/>
            <w:vAlign w:val="center"/>
          </w:tcPr>
          <w:p w14:paraId="3F3BB23E">
            <w:pPr>
              <w:widowControl/>
              <w:jc w:val="left"/>
              <w:rPr>
                <w:bCs/>
                <w:kern w:val="0"/>
                <w:sz w:val="18"/>
                <w:szCs w:val="18"/>
              </w:rPr>
            </w:pPr>
            <w:r>
              <w:rPr>
                <w:rFonts w:hint="eastAsia"/>
                <w:bCs/>
                <w:kern w:val="0"/>
                <w:sz w:val="18"/>
                <w:szCs w:val="18"/>
              </w:rPr>
              <w:t>不超过1000Ω•m。</w:t>
            </w:r>
          </w:p>
        </w:tc>
        <w:tc>
          <w:tcPr>
            <w:tcW w:w="1812" w:type="dxa"/>
            <w:vAlign w:val="center"/>
          </w:tcPr>
          <w:p w14:paraId="7031CCDC">
            <w:pPr>
              <w:widowControl/>
              <w:jc w:val="left"/>
              <w:rPr>
                <w:sz w:val="18"/>
                <w:szCs w:val="18"/>
              </w:rPr>
            </w:pPr>
            <w:r>
              <w:rPr>
                <w:sz w:val="18"/>
                <w:szCs w:val="18"/>
              </w:rPr>
              <w:t>GB/T12706.2-2008</w:t>
            </w:r>
          </w:p>
        </w:tc>
        <w:tc>
          <w:tcPr>
            <w:tcW w:w="1392" w:type="dxa"/>
            <w:vAlign w:val="center"/>
          </w:tcPr>
          <w:p w14:paraId="418D1A0B">
            <w:pPr>
              <w:widowControl/>
              <w:jc w:val="center"/>
              <w:rPr>
                <w:kern w:val="0"/>
                <w:sz w:val="18"/>
                <w:szCs w:val="18"/>
              </w:rPr>
            </w:pPr>
            <w:r>
              <w:rPr>
                <w:rFonts w:hint="eastAsia"/>
                <w:sz w:val="18"/>
                <w:szCs w:val="18"/>
              </w:rPr>
              <w:t>B</w:t>
            </w:r>
            <w:r>
              <w:rPr>
                <w:sz w:val="18"/>
                <w:szCs w:val="18"/>
              </w:rPr>
              <w:t>类</w:t>
            </w:r>
          </w:p>
        </w:tc>
      </w:tr>
      <w:tr w14:paraId="13B891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57" w:hRule="atLeast"/>
          <w:jc w:val="center"/>
        </w:trPr>
        <w:tc>
          <w:tcPr>
            <w:tcW w:w="707" w:type="dxa"/>
            <w:vAlign w:val="center"/>
          </w:tcPr>
          <w:p w14:paraId="2115671B">
            <w:pPr>
              <w:widowControl/>
              <w:jc w:val="center"/>
              <w:rPr>
                <w:kern w:val="0"/>
                <w:sz w:val="18"/>
                <w:szCs w:val="18"/>
              </w:rPr>
            </w:pPr>
            <w:r>
              <w:rPr>
                <w:rFonts w:hint="eastAsia"/>
                <w:kern w:val="0"/>
                <w:sz w:val="18"/>
                <w:szCs w:val="18"/>
              </w:rPr>
              <w:t>5</w:t>
            </w:r>
          </w:p>
        </w:tc>
        <w:tc>
          <w:tcPr>
            <w:tcW w:w="1195" w:type="dxa"/>
            <w:vAlign w:val="center"/>
          </w:tcPr>
          <w:p w14:paraId="4D213406">
            <w:pPr>
              <w:widowControl/>
              <w:jc w:val="center"/>
              <w:rPr>
                <w:kern w:val="0"/>
                <w:sz w:val="18"/>
                <w:szCs w:val="18"/>
              </w:rPr>
            </w:pPr>
            <w:r>
              <w:rPr>
                <w:kern w:val="0"/>
                <w:sz w:val="18"/>
                <w:szCs w:val="18"/>
              </w:rPr>
              <w:t>绝缘最薄点的厚度</w:t>
            </w:r>
          </w:p>
        </w:tc>
        <w:tc>
          <w:tcPr>
            <w:tcW w:w="3416" w:type="dxa"/>
            <w:vAlign w:val="center"/>
          </w:tcPr>
          <w:p w14:paraId="0DD5B362">
            <w:pPr>
              <w:widowControl/>
              <w:jc w:val="left"/>
              <w:rPr>
                <w:kern w:val="0"/>
                <w:sz w:val="18"/>
                <w:szCs w:val="18"/>
              </w:rPr>
            </w:pPr>
            <w:r>
              <w:rPr>
                <w:rFonts w:hint="eastAsia"/>
                <w:bCs/>
                <w:kern w:val="0"/>
                <w:sz w:val="18"/>
                <w:szCs w:val="18"/>
              </w:rPr>
              <w:t>任一点最小测量厚度应</w:t>
            </w:r>
            <w:r>
              <w:rPr>
                <w:bCs/>
                <w:kern w:val="0"/>
                <w:sz w:val="18"/>
                <w:szCs w:val="18"/>
              </w:rPr>
              <w:t>不小于4.05mm</w:t>
            </w:r>
            <w:r>
              <w:rPr>
                <w:rFonts w:hint="eastAsia"/>
                <w:bCs/>
                <w:kern w:val="0"/>
                <w:sz w:val="18"/>
                <w:szCs w:val="18"/>
              </w:rPr>
              <w:t>。</w:t>
            </w:r>
          </w:p>
        </w:tc>
        <w:tc>
          <w:tcPr>
            <w:tcW w:w="1812" w:type="dxa"/>
            <w:vAlign w:val="center"/>
          </w:tcPr>
          <w:p w14:paraId="5A4F6AFA">
            <w:pPr>
              <w:widowControl/>
              <w:jc w:val="left"/>
              <w:rPr>
                <w:sz w:val="18"/>
                <w:szCs w:val="18"/>
              </w:rPr>
            </w:pPr>
            <w:r>
              <w:rPr>
                <w:sz w:val="18"/>
                <w:szCs w:val="18"/>
              </w:rPr>
              <w:t xml:space="preserve">GB/T12706.2-2008条款17.5.2 </w:t>
            </w:r>
          </w:p>
        </w:tc>
        <w:tc>
          <w:tcPr>
            <w:tcW w:w="1392" w:type="dxa"/>
            <w:vAlign w:val="center"/>
          </w:tcPr>
          <w:p w14:paraId="33C7D163">
            <w:pPr>
              <w:widowControl/>
              <w:jc w:val="center"/>
              <w:rPr>
                <w:kern w:val="0"/>
                <w:sz w:val="18"/>
                <w:szCs w:val="18"/>
              </w:rPr>
            </w:pPr>
            <w:r>
              <w:rPr>
                <w:kern w:val="0"/>
                <w:sz w:val="18"/>
                <w:szCs w:val="18"/>
              </w:rPr>
              <w:t>A类</w:t>
            </w:r>
          </w:p>
        </w:tc>
      </w:tr>
      <w:tr w14:paraId="2CCC2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707" w:type="dxa"/>
            <w:vAlign w:val="center"/>
          </w:tcPr>
          <w:p w14:paraId="2AA9B06D">
            <w:pPr>
              <w:widowControl/>
              <w:jc w:val="center"/>
              <w:rPr>
                <w:kern w:val="0"/>
                <w:sz w:val="18"/>
                <w:szCs w:val="18"/>
              </w:rPr>
            </w:pPr>
            <w:r>
              <w:rPr>
                <w:rFonts w:hint="eastAsia"/>
                <w:kern w:val="0"/>
                <w:sz w:val="18"/>
                <w:szCs w:val="18"/>
              </w:rPr>
              <w:t>6</w:t>
            </w:r>
          </w:p>
        </w:tc>
        <w:tc>
          <w:tcPr>
            <w:tcW w:w="1195" w:type="dxa"/>
            <w:vAlign w:val="center"/>
          </w:tcPr>
          <w:p w14:paraId="4AE20D74">
            <w:pPr>
              <w:widowControl/>
              <w:jc w:val="center"/>
              <w:rPr>
                <w:kern w:val="0"/>
                <w:sz w:val="18"/>
                <w:szCs w:val="18"/>
              </w:rPr>
            </w:pPr>
            <w:r>
              <w:rPr>
                <w:kern w:val="0"/>
                <w:sz w:val="18"/>
                <w:szCs w:val="18"/>
              </w:rPr>
              <w:t>绝缘平均厚度</w:t>
            </w:r>
          </w:p>
        </w:tc>
        <w:tc>
          <w:tcPr>
            <w:tcW w:w="3416" w:type="dxa"/>
            <w:vAlign w:val="center"/>
          </w:tcPr>
          <w:p w14:paraId="5D2AFC65">
            <w:pPr>
              <w:widowControl/>
              <w:jc w:val="left"/>
              <w:rPr>
                <w:bCs/>
                <w:kern w:val="0"/>
                <w:sz w:val="18"/>
                <w:szCs w:val="18"/>
              </w:rPr>
            </w:pPr>
            <w:r>
              <w:rPr>
                <w:kern w:val="0"/>
                <w:sz w:val="18"/>
                <w:szCs w:val="18"/>
              </w:rPr>
              <w:t>不小于</w:t>
            </w:r>
            <w:r>
              <w:rPr>
                <w:sz w:val="18"/>
                <w:szCs w:val="18"/>
              </w:rPr>
              <w:t>4.5mm</w:t>
            </w:r>
            <w:r>
              <w:rPr>
                <w:rFonts w:hint="eastAsia"/>
                <w:sz w:val="18"/>
                <w:szCs w:val="18"/>
              </w:rPr>
              <w:t>。</w:t>
            </w:r>
          </w:p>
        </w:tc>
        <w:tc>
          <w:tcPr>
            <w:tcW w:w="1812" w:type="dxa"/>
            <w:vAlign w:val="center"/>
          </w:tcPr>
          <w:p w14:paraId="5521A60D">
            <w:pPr>
              <w:widowControl/>
              <w:jc w:val="left"/>
              <w:rPr>
                <w:sz w:val="18"/>
                <w:szCs w:val="18"/>
              </w:rPr>
            </w:pPr>
            <w:r>
              <w:rPr>
                <w:sz w:val="18"/>
                <w:szCs w:val="18"/>
              </w:rPr>
              <w:t>GB/T12706.2-2008</w:t>
            </w:r>
          </w:p>
        </w:tc>
        <w:tc>
          <w:tcPr>
            <w:tcW w:w="1392" w:type="dxa"/>
            <w:vAlign w:val="center"/>
          </w:tcPr>
          <w:p w14:paraId="06EC2821">
            <w:pPr>
              <w:widowControl/>
              <w:jc w:val="center"/>
              <w:rPr>
                <w:bCs/>
                <w:kern w:val="0"/>
                <w:sz w:val="18"/>
                <w:szCs w:val="18"/>
              </w:rPr>
            </w:pPr>
            <w:r>
              <w:rPr>
                <w:bCs/>
                <w:kern w:val="0"/>
                <w:sz w:val="18"/>
                <w:szCs w:val="18"/>
              </w:rPr>
              <w:t>B类</w:t>
            </w:r>
          </w:p>
        </w:tc>
      </w:tr>
      <w:tr w14:paraId="31960E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07" w:type="dxa"/>
            <w:vMerge w:val="restart"/>
            <w:vAlign w:val="center"/>
          </w:tcPr>
          <w:p w14:paraId="2E0A9626">
            <w:pPr>
              <w:widowControl/>
              <w:jc w:val="center"/>
              <w:rPr>
                <w:kern w:val="0"/>
                <w:sz w:val="18"/>
                <w:szCs w:val="18"/>
              </w:rPr>
            </w:pPr>
            <w:r>
              <w:rPr>
                <w:rFonts w:hint="eastAsia"/>
                <w:kern w:val="0"/>
                <w:sz w:val="18"/>
                <w:szCs w:val="18"/>
              </w:rPr>
              <w:t>7</w:t>
            </w:r>
          </w:p>
        </w:tc>
        <w:tc>
          <w:tcPr>
            <w:tcW w:w="1195" w:type="dxa"/>
            <w:vMerge w:val="restart"/>
            <w:vAlign w:val="center"/>
          </w:tcPr>
          <w:p w14:paraId="672EF51C">
            <w:pPr>
              <w:widowControl/>
              <w:jc w:val="center"/>
              <w:rPr>
                <w:kern w:val="0"/>
                <w:sz w:val="18"/>
                <w:szCs w:val="18"/>
              </w:rPr>
            </w:pPr>
            <w:r>
              <w:rPr>
                <w:kern w:val="0"/>
                <w:sz w:val="18"/>
                <w:szCs w:val="18"/>
              </w:rPr>
              <w:t>绝缘偏心度</w:t>
            </w:r>
          </w:p>
        </w:tc>
        <w:tc>
          <w:tcPr>
            <w:tcW w:w="3416" w:type="dxa"/>
            <w:vMerge w:val="restart"/>
            <w:vAlign w:val="center"/>
          </w:tcPr>
          <w:p w14:paraId="0F7E340D">
            <w:pPr>
              <w:widowControl/>
              <w:jc w:val="left"/>
              <w:rPr>
                <w:sz w:val="18"/>
                <w:szCs w:val="18"/>
              </w:rPr>
            </w:pPr>
            <w:r>
              <w:rPr>
                <w:rFonts w:hint="eastAsia"/>
                <w:sz w:val="18"/>
                <w:szCs w:val="18"/>
              </w:rPr>
              <w:t>三层共挤后偏心度</w:t>
            </w:r>
            <w:r>
              <w:rPr>
                <w:sz w:val="18"/>
                <w:szCs w:val="18"/>
              </w:rPr>
              <w:t>不大于0.08</w:t>
            </w:r>
            <w:r>
              <w:rPr>
                <w:rFonts w:hint="eastAsia"/>
                <w:sz w:val="18"/>
                <w:szCs w:val="18"/>
              </w:rPr>
              <w:t>。</w:t>
            </w:r>
          </w:p>
        </w:tc>
        <w:tc>
          <w:tcPr>
            <w:tcW w:w="1812" w:type="dxa"/>
            <w:vMerge w:val="restart"/>
            <w:vAlign w:val="center"/>
          </w:tcPr>
          <w:p w14:paraId="779F9A61">
            <w:pPr>
              <w:widowControl/>
              <w:jc w:val="left"/>
              <w:rPr>
                <w:kern w:val="0"/>
                <w:sz w:val="18"/>
                <w:szCs w:val="18"/>
              </w:rPr>
            </w:pPr>
            <w:r>
              <w:rPr>
                <w:sz w:val="18"/>
                <w:szCs w:val="18"/>
              </w:rPr>
              <w:t>GB/T12706.2-2008条款17.5.2</w:t>
            </w:r>
          </w:p>
        </w:tc>
        <w:tc>
          <w:tcPr>
            <w:tcW w:w="1392" w:type="dxa"/>
            <w:vAlign w:val="center"/>
          </w:tcPr>
          <w:p w14:paraId="40F27C44">
            <w:pPr>
              <w:widowControl/>
              <w:jc w:val="center"/>
              <w:rPr>
                <w:sz w:val="18"/>
                <w:szCs w:val="18"/>
              </w:rPr>
            </w:pPr>
            <w:r>
              <w:rPr>
                <w:sz w:val="18"/>
                <w:szCs w:val="18"/>
              </w:rPr>
              <w:t>A类：大于0.15</w:t>
            </w:r>
          </w:p>
        </w:tc>
      </w:tr>
      <w:tr w14:paraId="03421B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07" w:type="dxa"/>
            <w:vMerge w:val="continue"/>
            <w:vAlign w:val="center"/>
          </w:tcPr>
          <w:p w14:paraId="64B53222">
            <w:pPr>
              <w:widowControl/>
              <w:jc w:val="center"/>
              <w:rPr>
                <w:kern w:val="0"/>
                <w:sz w:val="18"/>
                <w:szCs w:val="18"/>
              </w:rPr>
            </w:pPr>
          </w:p>
        </w:tc>
        <w:tc>
          <w:tcPr>
            <w:tcW w:w="1195" w:type="dxa"/>
            <w:vMerge w:val="continue"/>
            <w:vAlign w:val="center"/>
          </w:tcPr>
          <w:p w14:paraId="165132D2">
            <w:pPr>
              <w:widowControl/>
              <w:jc w:val="center"/>
              <w:rPr>
                <w:kern w:val="0"/>
                <w:sz w:val="18"/>
                <w:szCs w:val="18"/>
              </w:rPr>
            </w:pPr>
          </w:p>
        </w:tc>
        <w:tc>
          <w:tcPr>
            <w:tcW w:w="3416" w:type="dxa"/>
            <w:vMerge w:val="continue"/>
            <w:vAlign w:val="center"/>
          </w:tcPr>
          <w:p w14:paraId="44176E6B">
            <w:pPr>
              <w:widowControl/>
              <w:jc w:val="left"/>
              <w:rPr>
                <w:sz w:val="18"/>
                <w:szCs w:val="18"/>
              </w:rPr>
            </w:pPr>
          </w:p>
        </w:tc>
        <w:tc>
          <w:tcPr>
            <w:tcW w:w="1812" w:type="dxa"/>
            <w:vMerge w:val="continue"/>
            <w:vAlign w:val="center"/>
          </w:tcPr>
          <w:p w14:paraId="51F3C753">
            <w:pPr>
              <w:widowControl/>
              <w:jc w:val="left"/>
              <w:rPr>
                <w:sz w:val="18"/>
                <w:szCs w:val="18"/>
              </w:rPr>
            </w:pPr>
          </w:p>
        </w:tc>
        <w:tc>
          <w:tcPr>
            <w:tcW w:w="1392" w:type="dxa"/>
            <w:vAlign w:val="center"/>
          </w:tcPr>
          <w:p w14:paraId="1032ADCC">
            <w:pPr>
              <w:widowControl/>
              <w:jc w:val="center"/>
              <w:rPr>
                <w:sz w:val="18"/>
                <w:szCs w:val="18"/>
              </w:rPr>
            </w:pPr>
            <w:r>
              <w:rPr>
                <w:sz w:val="18"/>
                <w:szCs w:val="18"/>
              </w:rPr>
              <w:t>B类：大于0.08且不大于0.15</w:t>
            </w:r>
          </w:p>
        </w:tc>
      </w:tr>
      <w:tr w14:paraId="78D98C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1A17F81E">
            <w:pPr>
              <w:widowControl/>
              <w:jc w:val="center"/>
              <w:rPr>
                <w:kern w:val="0"/>
                <w:sz w:val="18"/>
                <w:szCs w:val="18"/>
              </w:rPr>
            </w:pPr>
            <w:r>
              <w:rPr>
                <w:rFonts w:hint="eastAsia"/>
                <w:kern w:val="0"/>
                <w:sz w:val="18"/>
                <w:szCs w:val="18"/>
              </w:rPr>
              <w:t>8</w:t>
            </w:r>
          </w:p>
        </w:tc>
        <w:tc>
          <w:tcPr>
            <w:tcW w:w="1195" w:type="dxa"/>
            <w:vAlign w:val="center"/>
          </w:tcPr>
          <w:p w14:paraId="249647AE">
            <w:pPr>
              <w:widowControl/>
              <w:jc w:val="center"/>
              <w:rPr>
                <w:kern w:val="0"/>
                <w:sz w:val="18"/>
                <w:szCs w:val="18"/>
              </w:rPr>
            </w:pPr>
            <w:r>
              <w:rPr>
                <w:kern w:val="0"/>
                <w:sz w:val="18"/>
                <w:szCs w:val="18"/>
              </w:rPr>
              <w:t>护套平均厚度</w:t>
            </w:r>
          </w:p>
        </w:tc>
        <w:tc>
          <w:tcPr>
            <w:tcW w:w="3416" w:type="dxa"/>
            <w:vAlign w:val="center"/>
          </w:tcPr>
          <w:p w14:paraId="3448B235">
            <w:pPr>
              <w:ind w:left="6" w:leftChars="3"/>
              <w:jc w:val="left"/>
              <w:rPr>
                <w:sz w:val="18"/>
                <w:szCs w:val="18"/>
              </w:rPr>
            </w:pPr>
            <w:r>
              <w:rPr>
                <w:rFonts w:hint="eastAsia"/>
                <w:sz w:val="18"/>
                <w:szCs w:val="18"/>
              </w:rPr>
              <w:t>厚度平均值应不小于标称值。</w:t>
            </w:r>
          </w:p>
        </w:tc>
        <w:tc>
          <w:tcPr>
            <w:tcW w:w="1812" w:type="dxa"/>
            <w:vAlign w:val="center"/>
          </w:tcPr>
          <w:p w14:paraId="63E9667B">
            <w:pPr>
              <w:widowControl/>
              <w:jc w:val="left"/>
              <w:rPr>
                <w:kern w:val="0"/>
                <w:sz w:val="18"/>
                <w:szCs w:val="18"/>
              </w:rPr>
            </w:pPr>
            <w:r>
              <w:rPr>
                <w:sz w:val="18"/>
                <w:szCs w:val="18"/>
              </w:rPr>
              <w:t>GB/T12706.2-2008</w:t>
            </w:r>
          </w:p>
        </w:tc>
        <w:tc>
          <w:tcPr>
            <w:tcW w:w="1392" w:type="dxa"/>
            <w:vAlign w:val="center"/>
          </w:tcPr>
          <w:p w14:paraId="0C0D649D">
            <w:pPr>
              <w:jc w:val="center"/>
              <w:rPr>
                <w:sz w:val="18"/>
                <w:szCs w:val="18"/>
              </w:rPr>
            </w:pPr>
            <w:r>
              <w:rPr>
                <w:sz w:val="18"/>
                <w:szCs w:val="18"/>
              </w:rPr>
              <w:t>B类</w:t>
            </w:r>
          </w:p>
        </w:tc>
      </w:tr>
      <w:tr w14:paraId="5751E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Merge w:val="restart"/>
            <w:vAlign w:val="center"/>
          </w:tcPr>
          <w:p w14:paraId="4CDE2D87">
            <w:pPr>
              <w:widowControl/>
              <w:jc w:val="center"/>
              <w:rPr>
                <w:kern w:val="0"/>
                <w:sz w:val="18"/>
                <w:szCs w:val="18"/>
              </w:rPr>
            </w:pPr>
            <w:r>
              <w:rPr>
                <w:rFonts w:hint="eastAsia"/>
                <w:kern w:val="0"/>
                <w:sz w:val="18"/>
                <w:szCs w:val="18"/>
              </w:rPr>
              <w:t>9</w:t>
            </w:r>
          </w:p>
        </w:tc>
        <w:tc>
          <w:tcPr>
            <w:tcW w:w="1195" w:type="dxa"/>
            <w:vMerge w:val="restart"/>
            <w:vAlign w:val="center"/>
          </w:tcPr>
          <w:p w14:paraId="0285826B">
            <w:pPr>
              <w:widowControl/>
              <w:jc w:val="center"/>
              <w:rPr>
                <w:kern w:val="0"/>
                <w:sz w:val="18"/>
                <w:szCs w:val="18"/>
              </w:rPr>
            </w:pPr>
            <w:r>
              <w:rPr>
                <w:kern w:val="0"/>
                <w:sz w:val="18"/>
                <w:szCs w:val="18"/>
              </w:rPr>
              <w:t>护套最薄点厚度</w:t>
            </w:r>
          </w:p>
        </w:tc>
        <w:tc>
          <w:tcPr>
            <w:tcW w:w="3416" w:type="dxa"/>
            <w:vMerge w:val="restart"/>
            <w:vAlign w:val="center"/>
          </w:tcPr>
          <w:p w14:paraId="56E8E556">
            <w:pPr>
              <w:widowControl/>
              <w:jc w:val="left"/>
              <w:rPr>
                <w:kern w:val="0"/>
                <w:sz w:val="18"/>
                <w:szCs w:val="18"/>
              </w:rPr>
            </w:pPr>
            <w:r>
              <w:rPr>
                <w:rFonts w:hint="eastAsia"/>
                <w:sz w:val="18"/>
                <w:szCs w:val="18"/>
              </w:rPr>
              <w:t>任一点最小测量厚度不小于标称值的80%。</w:t>
            </w:r>
          </w:p>
        </w:tc>
        <w:tc>
          <w:tcPr>
            <w:tcW w:w="1812" w:type="dxa"/>
            <w:vMerge w:val="restart"/>
            <w:vAlign w:val="center"/>
          </w:tcPr>
          <w:p w14:paraId="3FB3035D">
            <w:pPr>
              <w:jc w:val="left"/>
              <w:rPr>
                <w:kern w:val="0"/>
                <w:sz w:val="18"/>
                <w:szCs w:val="18"/>
              </w:rPr>
            </w:pPr>
            <w:r>
              <w:rPr>
                <w:sz w:val="18"/>
                <w:szCs w:val="18"/>
              </w:rPr>
              <w:t xml:space="preserve">GB/T12706.2-2008条款17.5.3 </w:t>
            </w:r>
          </w:p>
        </w:tc>
        <w:tc>
          <w:tcPr>
            <w:tcW w:w="1392" w:type="dxa"/>
            <w:vAlign w:val="center"/>
          </w:tcPr>
          <w:p w14:paraId="5194DF93">
            <w:pPr>
              <w:widowControl/>
              <w:jc w:val="center"/>
              <w:rPr>
                <w:kern w:val="0"/>
                <w:sz w:val="18"/>
                <w:szCs w:val="18"/>
              </w:rPr>
            </w:pPr>
            <w:r>
              <w:rPr>
                <w:sz w:val="18"/>
                <w:szCs w:val="18"/>
              </w:rPr>
              <w:t>B类：不符合GB/T12706.2要求</w:t>
            </w:r>
          </w:p>
        </w:tc>
      </w:tr>
      <w:tr w14:paraId="583526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707" w:type="dxa"/>
            <w:vMerge w:val="continue"/>
            <w:vAlign w:val="center"/>
          </w:tcPr>
          <w:p w14:paraId="7D154007">
            <w:pPr>
              <w:widowControl/>
              <w:jc w:val="center"/>
              <w:rPr>
                <w:kern w:val="0"/>
                <w:sz w:val="18"/>
                <w:szCs w:val="18"/>
              </w:rPr>
            </w:pPr>
          </w:p>
        </w:tc>
        <w:tc>
          <w:tcPr>
            <w:tcW w:w="1195" w:type="dxa"/>
            <w:vMerge w:val="continue"/>
            <w:vAlign w:val="center"/>
          </w:tcPr>
          <w:p w14:paraId="33463BE3">
            <w:pPr>
              <w:widowControl/>
              <w:jc w:val="center"/>
              <w:rPr>
                <w:kern w:val="0"/>
                <w:sz w:val="18"/>
                <w:szCs w:val="18"/>
              </w:rPr>
            </w:pPr>
          </w:p>
        </w:tc>
        <w:tc>
          <w:tcPr>
            <w:tcW w:w="3416" w:type="dxa"/>
            <w:vMerge w:val="continue"/>
            <w:vAlign w:val="center"/>
          </w:tcPr>
          <w:p w14:paraId="28744A4F">
            <w:pPr>
              <w:widowControl/>
              <w:jc w:val="left"/>
              <w:rPr>
                <w:sz w:val="18"/>
                <w:szCs w:val="18"/>
              </w:rPr>
            </w:pPr>
          </w:p>
        </w:tc>
        <w:tc>
          <w:tcPr>
            <w:tcW w:w="1812" w:type="dxa"/>
            <w:vMerge w:val="continue"/>
            <w:vAlign w:val="center"/>
          </w:tcPr>
          <w:p w14:paraId="1053802F">
            <w:pPr>
              <w:jc w:val="left"/>
              <w:rPr>
                <w:sz w:val="18"/>
                <w:szCs w:val="18"/>
              </w:rPr>
            </w:pPr>
          </w:p>
        </w:tc>
        <w:tc>
          <w:tcPr>
            <w:tcW w:w="1392" w:type="dxa"/>
            <w:vAlign w:val="center"/>
          </w:tcPr>
          <w:p w14:paraId="6E69497D">
            <w:pPr>
              <w:widowControl/>
              <w:jc w:val="center"/>
              <w:rPr>
                <w:kern w:val="0"/>
                <w:sz w:val="18"/>
                <w:szCs w:val="18"/>
              </w:rPr>
            </w:pPr>
            <w:r>
              <w:rPr>
                <w:sz w:val="18"/>
                <w:szCs w:val="18"/>
              </w:rPr>
              <w:t>C类：符合GB/T12706.2，不符合技术协议要求</w:t>
            </w:r>
          </w:p>
        </w:tc>
      </w:tr>
      <w:tr w14:paraId="0D5070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07" w:type="dxa"/>
            <w:vAlign w:val="center"/>
          </w:tcPr>
          <w:p w14:paraId="0A00269F">
            <w:pPr>
              <w:widowControl/>
              <w:jc w:val="center"/>
              <w:rPr>
                <w:kern w:val="0"/>
                <w:sz w:val="18"/>
                <w:szCs w:val="18"/>
              </w:rPr>
            </w:pPr>
            <w:r>
              <w:rPr>
                <w:kern w:val="0"/>
                <w:sz w:val="18"/>
                <w:szCs w:val="18"/>
              </w:rPr>
              <w:t>1</w:t>
            </w:r>
            <w:r>
              <w:rPr>
                <w:rFonts w:hint="eastAsia"/>
                <w:kern w:val="0"/>
                <w:sz w:val="18"/>
                <w:szCs w:val="18"/>
              </w:rPr>
              <w:t>2</w:t>
            </w:r>
          </w:p>
        </w:tc>
        <w:tc>
          <w:tcPr>
            <w:tcW w:w="1195" w:type="dxa"/>
            <w:vAlign w:val="center"/>
          </w:tcPr>
          <w:p w14:paraId="42D659F5">
            <w:pPr>
              <w:widowControl/>
              <w:jc w:val="center"/>
              <w:rPr>
                <w:kern w:val="0"/>
                <w:sz w:val="18"/>
                <w:szCs w:val="18"/>
              </w:rPr>
            </w:pPr>
            <w:r>
              <w:rPr>
                <w:sz w:val="18"/>
                <w:szCs w:val="18"/>
              </w:rPr>
              <w:t>导体电阻（20</w:t>
            </w:r>
            <w:r>
              <w:rPr>
                <w:rFonts w:hint="eastAsia" w:ascii="宋体" w:hAnsi="宋体" w:cs="宋体"/>
                <w:sz w:val="18"/>
                <w:szCs w:val="18"/>
              </w:rPr>
              <w:t>℃</w:t>
            </w:r>
            <w:r>
              <w:rPr>
                <w:sz w:val="18"/>
                <w:szCs w:val="18"/>
              </w:rPr>
              <w:t>）</w:t>
            </w:r>
          </w:p>
        </w:tc>
        <w:tc>
          <w:tcPr>
            <w:tcW w:w="3416" w:type="dxa"/>
            <w:vAlign w:val="center"/>
          </w:tcPr>
          <w:p w14:paraId="3445EEAF">
            <w:pPr>
              <w:jc w:val="left"/>
              <w:rPr>
                <w:sz w:val="18"/>
                <w:szCs w:val="18"/>
              </w:rPr>
            </w:pPr>
            <w:r>
              <w:rPr>
                <w:kern w:val="0"/>
                <w:sz w:val="18"/>
                <w:szCs w:val="18"/>
              </w:rPr>
              <w:t>见GB/T 3956-2008表2</w:t>
            </w:r>
            <w:r>
              <w:rPr>
                <w:rFonts w:hint="eastAsia"/>
                <w:kern w:val="0"/>
                <w:sz w:val="18"/>
                <w:szCs w:val="18"/>
              </w:rPr>
              <w:t>。</w:t>
            </w:r>
          </w:p>
        </w:tc>
        <w:tc>
          <w:tcPr>
            <w:tcW w:w="1812" w:type="dxa"/>
            <w:vAlign w:val="center"/>
          </w:tcPr>
          <w:p w14:paraId="79E291E0">
            <w:pPr>
              <w:widowControl/>
              <w:jc w:val="left"/>
              <w:rPr>
                <w:kern w:val="0"/>
                <w:sz w:val="18"/>
                <w:szCs w:val="18"/>
              </w:rPr>
            </w:pPr>
            <w:r>
              <w:rPr>
                <w:kern w:val="0"/>
                <w:sz w:val="18"/>
                <w:szCs w:val="18"/>
              </w:rPr>
              <w:t>GB/T 3956-2008表2</w:t>
            </w:r>
          </w:p>
        </w:tc>
        <w:tc>
          <w:tcPr>
            <w:tcW w:w="1392" w:type="dxa"/>
            <w:vAlign w:val="center"/>
          </w:tcPr>
          <w:p w14:paraId="04034A92">
            <w:pPr>
              <w:jc w:val="center"/>
              <w:rPr>
                <w:sz w:val="18"/>
                <w:szCs w:val="18"/>
              </w:rPr>
            </w:pPr>
            <w:r>
              <w:rPr>
                <w:sz w:val="18"/>
                <w:szCs w:val="18"/>
              </w:rPr>
              <w:t>A类</w:t>
            </w:r>
          </w:p>
        </w:tc>
      </w:tr>
      <w:tr w14:paraId="1164CF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62050174">
            <w:pPr>
              <w:widowControl/>
              <w:jc w:val="center"/>
              <w:rPr>
                <w:kern w:val="0"/>
                <w:sz w:val="18"/>
                <w:szCs w:val="18"/>
              </w:rPr>
            </w:pPr>
            <w:r>
              <w:rPr>
                <w:kern w:val="0"/>
                <w:sz w:val="18"/>
                <w:szCs w:val="18"/>
              </w:rPr>
              <w:t>1</w:t>
            </w:r>
            <w:r>
              <w:rPr>
                <w:rFonts w:hint="eastAsia"/>
                <w:kern w:val="0"/>
                <w:sz w:val="18"/>
                <w:szCs w:val="18"/>
              </w:rPr>
              <w:t>3</w:t>
            </w:r>
          </w:p>
        </w:tc>
        <w:tc>
          <w:tcPr>
            <w:tcW w:w="1195" w:type="dxa"/>
            <w:vAlign w:val="center"/>
          </w:tcPr>
          <w:p w14:paraId="75159ED2">
            <w:pPr>
              <w:widowControl/>
              <w:jc w:val="center"/>
              <w:rPr>
                <w:kern w:val="0"/>
                <w:sz w:val="18"/>
                <w:szCs w:val="18"/>
              </w:rPr>
            </w:pPr>
            <w:r>
              <w:rPr>
                <w:sz w:val="18"/>
                <w:szCs w:val="18"/>
              </w:rPr>
              <w:t>绝缘热延伸试验</w:t>
            </w:r>
          </w:p>
        </w:tc>
        <w:tc>
          <w:tcPr>
            <w:tcW w:w="3416" w:type="dxa"/>
            <w:vAlign w:val="center"/>
          </w:tcPr>
          <w:p w14:paraId="597ADCC4">
            <w:pPr>
              <w:ind w:left="8"/>
              <w:jc w:val="left"/>
              <w:rPr>
                <w:sz w:val="18"/>
                <w:szCs w:val="18"/>
              </w:rPr>
            </w:pPr>
            <w:r>
              <w:rPr>
                <w:sz w:val="18"/>
                <w:szCs w:val="18"/>
              </w:rPr>
              <w:t>见GB/T 12706.2-2008表19</w:t>
            </w:r>
            <w:r>
              <w:rPr>
                <w:rFonts w:hint="eastAsia"/>
                <w:sz w:val="18"/>
                <w:szCs w:val="18"/>
              </w:rPr>
              <w:t>。</w:t>
            </w:r>
          </w:p>
        </w:tc>
        <w:tc>
          <w:tcPr>
            <w:tcW w:w="1812" w:type="dxa"/>
            <w:vAlign w:val="center"/>
          </w:tcPr>
          <w:p w14:paraId="59743C6B">
            <w:pPr>
              <w:widowControl/>
              <w:jc w:val="left"/>
              <w:rPr>
                <w:kern w:val="0"/>
                <w:sz w:val="18"/>
                <w:szCs w:val="18"/>
              </w:rPr>
            </w:pPr>
            <w:r>
              <w:rPr>
                <w:sz w:val="18"/>
                <w:szCs w:val="18"/>
              </w:rPr>
              <w:t>GB/T 12706.2-2008表19</w:t>
            </w:r>
          </w:p>
        </w:tc>
        <w:tc>
          <w:tcPr>
            <w:tcW w:w="1392" w:type="dxa"/>
            <w:vAlign w:val="center"/>
          </w:tcPr>
          <w:p w14:paraId="5B3EC051">
            <w:pPr>
              <w:widowControl/>
              <w:jc w:val="center"/>
              <w:rPr>
                <w:sz w:val="18"/>
                <w:szCs w:val="18"/>
              </w:rPr>
            </w:pPr>
            <w:r>
              <w:rPr>
                <w:sz w:val="18"/>
                <w:szCs w:val="18"/>
              </w:rPr>
              <w:t>B类</w:t>
            </w:r>
          </w:p>
        </w:tc>
      </w:tr>
      <w:tr w14:paraId="166269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63754C14">
            <w:pPr>
              <w:widowControl/>
              <w:jc w:val="center"/>
              <w:rPr>
                <w:kern w:val="0"/>
                <w:sz w:val="18"/>
                <w:szCs w:val="18"/>
              </w:rPr>
            </w:pPr>
            <w:r>
              <w:rPr>
                <w:kern w:val="0"/>
                <w:sz w:val="18"/>
                <w:szCs w:val="18"/>
              </w:rPr>
              <w:t>1</w:t>
            </w:r>
            <w:r>
              <w:rPr>
                <w:rFonts w:hint="eastAsia"/>
                <w:kern w:val="0"/>
                <w:sz w:val="18"/>
                <w:szCs w:val="18"/>
              </w:rPr>
              <w:t>4</w:t>
            </w:r>
          </w:p>
        </w:tc>
        <w:tc>
          <w:tcPr>
            <w:tcW w:w="1195" w:type="dxa"/>
            <w:vAlign w:val="center"/>
          </w:tcPr>
          <w:p w14:paraId="25F474CF">
            <w:pPr>
              <w:widowControl/>
              <w:jc w:val="center"/>
              <w:rPr>
                <w:sz w:val="18"/>
                <w:szCs w:val="18"/>
              </w:rPr>
            </w:pPr>
            <w:r>
              <w:rPr>
                <w:sz w:val="18"/>
                <w:szCs w:val="18"/>
              </w:rPr>
              <w:t>绝缘热收缩试验（可选）</w:t>
            </w:r>
          </w:p>
        </w:tc>
        <w:tc>
          <w:tcPr>
            <w:tcW w:w="3416" w:type="dxa"/>
            <w:vAlign w:val="center"/>
          </w:tcPr>
          <w:p w14:paraId="2E31DF00">
            <w:pPr>
              <w:ind w:left="6" w:leftChars="3"/>
              <w:jc w:val="left"/>
              <w:rPr>
                <w:sz w:val="18"/>
                <w:szCs w:val="18"/>
              </w:rPr>
            </w:pPr>
            <w:r>
              <w:rPr>
                <w:sz w:val="18"/>
                <w:szCs w:val="18"/>
              </w:rPr>
              <w:t>见GB/T 12706.2-2008表19</w:t>
            </w:r>
            <w:r>
              <w:rPr>
                <w:rFonts w:hint="eastAsia"/>
                <w:sz w:val="18"/>
                <w:szCs w:val="18"/>
              </w:rPr>
              <w:t>。</w:t>
            </w:r>
          </w:p>
        </w:tc>
        <w:tc>
          <w:tcPr>
            <w:tcW w:w="1812" w:type="dxa"/>
            <w:vAlign w:val="center"/>
          </w:tcPr>
          <w:p w14:paraId="4A44C683">
            <w:pPr>
              <w:widowControl/>
              <w:jc w:val="left"/>
              <w:rPr>
                <w:sz w:val="18"/>
                <w:szCs w:val="18"/>
              </w:rPr>
            </w:pPr>
            <w:r>
              <w:rPr>
                <w:sz w:val="18"/>
                <w:szCs w:val="18"/>
              </w:rPr>
              <w:t>GB/T 12706.2-2008表19</w:t>
            </w:r>
          </w:p>
        </w:tc>
        <w:tc>
          <w:tcPr>
            <w:tcW w:w="1392" w:type="dxa"/>
            <w:vAlign w:val="center"/>
          </w:tcPr>
          <w:p w14:paraId="4B805C51">
            <w:pPr>
              <w:widowControl/>
              <w:jc w:val="center"/>
              <w:rPr>
                <w:sz w:val="18"/>
                <w:szCs w:val="18"/>
              </w:rPr>
            </w:pPr>
            <w:r>
              <w:rPr>
                <w:sz w:val="18"/>
                <w:szCs w:val="18"/>
              </w:rPr>
              <w:t>B类</w:t>
            </w:r>
          </w:p>
        </w:tc>
      </w:tr>
      <w:tr w14:paraId="314A8F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586D2760">
            <w:pPr>
              <w:widowControl/>
              <w:jc w:val="center"/>
              <w:rPr>
                <w:kern w:val="0"/>
                <w:sz w:val="18"/>
                <w:szCs w:val="18"/>
              </w:rPr>
            </w:pPr>
            <w:r>
              <w:rPr>
                <w:kern w:val="0"/>
                <w:sz w:val="18"/>
                <w:szCs w:val="18"/>
              </w:rPr>
              <w:t>1</w:t>
            </w:r>
            <w:r>
              <w:rPr>
                <w:rFonts w:hint="eastAsia"/>
                <w:kern w:val="0"/>
                <w:sz w:val="18"/>
                <w:szCs w:val="18"/>
              </w:rPr>
              <w:t>5</w:t>
            </w:r>
          </w:p>
        </w:tc>
        <w:tc>
          <w:tcPr>
            <w:tcW w:w="1195" w:type="dxa"/>
            <w:vAlign w:val="center"/>
          </w:tcPr>
          <w:p w14:paraId="6E8C6743">
            <w:pPr>
              <w:widowControl/>
              <w:jc w:val="center"/>
              <w:rPr>
                <w:sz w:val="18"/>
                <w:szCs w:val="18"/>
              </w:rPr>
            </w:pPr>
            <w:r>
              <w:rPr>
                <w:sz w:val="18"/>
                <w:szCs w:val="18"/>
              </w:rPr>
              <w:t>绝缘老化前机械性能</w:t>
            </w:r>
          </w:p>
        </w:tc>
        <w:tc>
          <w:tcPr>
            <w:tcW w:w="3416" w:type="dxa"/>
            <w:vAlign w:val="center"/>
          </w:tcPr>
          <w:p w14:paraId="1B6269EE">
            <w:pPr>
              <w:ind w:left="6" w:leftChars="3"/>
              <w:jc w:val="left"/>
              <w:rPr>
                <w:sz w:val="18"/>
                <w:szCs w:val="18"/>
              </w:rPr>
            </w:pPr>
            <w:r>
              <w:rPr>
                <w:sz w:val="18"/>
                <w:szCs w:val="18"/>
              </w:rPr>
              <w:t>见GB/T 12706.2-2008表17</w:t>
            </w:r>
            <w:r>
              <w:rPr>
                <w:rFonts w:hint="eastAsia"/>
                <w:sz w:val="18"/>
                <w:szCs w:val="18"/>
              </w:rPr>
              <w:t>。</w:t>
            </w:r>
          </w:p>
        </w:tc>
        <w:tc>
          <w:tcPr>
            <w:tcW w:w="1812" w:type="dxa"/>
            <w:vAlign w:val="center"/>
          </w:tcPr>
          <w:p w14:paraId="29869B37">
            <w:pPr>
              <w:widowControl/>
              <w:jc w:val="left"/>
              <w:rPr>
                <w:sz w:val="18"/>
                <w:szCs w:val="18"/>
              </w:rPr>
            </w:pPr>
            <w:r>
              <w:rPr>
                <w:sz w:val="18"/>
                <w:szCs w:val="18"/>
              </w:rPr>
              <w:t>GB/T 12706.2-2008表17</w:t>
            </w:r>
          </w:p>
        </w:tc>
        <w:tc>
          <w:tcPr>
            <w:tcW w:w="1392" w:type="dxa"/>
            <w:vAlign w:val="center"/>
          </w:tcPr>
          <w:p w14:paraId="2BFD58F6">
            <w:pPr>
              <w:widowControl/>
              <w:jc w:val="center"/>
              <w:rPr>
                <w:sz w:val="18"/>
                <w:szCs w:val="18"/>
              </w:rPr>
            </w:pPr>
            <w:r>
              <w:rPr>
                <w:sz w:val="18"/>
                <w:szCs w:val="18"/>
              </w:rPr>
              <w:t>B类</w:t>
            </w:r>
          </w:p>
        </w:tc>
      </w:tr>
      <w:tr w14:paraId="75207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147ECBFD">
            <w:pPr>
              <w:widowControl/>
              <w:jc w:val="center"/>
              <w:rPr>
                <w:kern w:val="0"/>
                <w:sz w:val="18"/>
                <w:szCs w:val="18"/>
              </w:rPr>
            </w:pPr>
            <w:r>
              <w:rPr>
                <w:kern w:val="0"/>
                <w:sz w:val="18"/>
                <w:szCs w:val="18"/>
              </w:rPr>
              <w:t>1</w:t>
            </w:r>
            <w:r>
              <w:rPr>
                <w:rFonts w:hint="eastAsia"/>
                <w:kern w:val="0"/>
                <w:sz w:val="18"/>
                <w:szCs w:val="18"/>
              </w:rPr>
              <w:t>6</w:t>
            </w:r>
          </w:p>
        </w:tc>
        <w:tc>
          <w:tcPr>
            <w:tcW w:w="1195" w:type="dxa"/>
            <w:tcBorders>
              <w:bottom w:val="single" w:color="auto" w:sz="4" w:space="0"/>
            </w:tcBorders>
            <w:vAlign w:val="center"/>
          </w:tcPr>
          <w:p w14:paraId="5F645830">
            <w:pPr>
              <w:widowControl/>
              <w:jc w:val="center"/>
              <w:rPr>
                <w:sz w:val="18"/>
                <w:szCs w:val="18"/>
              </w:rPr>
            </w:pPr>
            <w:r>
              <w:rPr>
                <w:sz w:val="18"/>
                <w:szCs w:val="18"/>
              </w:rPr>
              <w:t>绝缘老化后机械性能</w:t>
            </w:r>
            <w:r>
              <w:rPr>
                <w:rFonts w:hint="eastAsia"/>
                <w:sz w:val="18"/>
                <w:szCs w:val="18"/>
              </w:rPr>
              <w:t>（可选）</w:t>
            </w:r>
          </w:p>
        </w:tc>
        <w:tc>
          <w:tcPr>
            <w:tcW w:w="3416" w:type="dxa"/>
            <w:tcBorders>
              <w:bottom w:val="single" w:color="auto" w:sz="4" w:space="0"/>
            </w:tcBorders>
            <w:vAlign w:val="center"/>
          </w:tcPr>
          <w:p w14:paraId="27981AE1">
            <w:pPr>
              <w:ind w:left="6" w:leftChars="3"/>
              <w:jc w:val="left"/>
              <w:rPr>
                <w:sz w:val="18"/>
                <w:szCs w:val="18"/>
              </w:rPr>
            </w:pPr>
            <w:r>
              <w:rPr>
                <w:sz w:val="18"/>
                <w:szCs w:val="18"/>
              </w:rPr>
              <w:t>见GB/T 12706.2-2008表17</w:t>
            </w:r>
            <w:r>
              <w:rPr>
                <w:rFonts w:hint="eastAsia"/>
                <w:sz w:val="18"/>
                <w:szCs w:val="18"/>
              </w:rPr>
              <w:t>。</w:t>
            </w:r>
          </w:p>
        </w:tc>
        <w:tc>
          <w:tcPr>
            <w:tcW w:w="1812" w:type="dxa"/>
            <w:tcBorders>
              <w:bottom w:val="single" w:color="auto" w:sz="4" w:space="0"/>
            </w:tcBorders>
            <w:vAlign w:val="center"/>
          </w:tcPr>
          <w:p w14:paraId="114C03BB">
            <w:pPr>
              <w:widowControl/>
              <w:jc w:val="left"/>
              <w:rPr>
                <w:sz w:val="18"/>
                <w:szCs w:val="18"/>
              </w:rPr>
            </w:pPr>
            <w:r>
              <w:rPr>
                <w:sz w:val="18"/>
                <w:szCs w:val="18"/>
              </w:rPr>
              <w:t>GB/T 12706.2-2008表17</w:t>
            </w:r>
          </w:p>
        </w:tc>
        <w:tc>
          <w:tcPr>
            <w:tcW w:w="1392" w:type="dxa"/>
            <w:tcBorders>
              <w:bottom w:val="single" w:color="auto" w:sz="4" w:space="0"/>
            </w:tcBorders>
            <w:vAlign w:val="center"/>
          </w:tcPr>
          <w:p w14:paraId="2C37D62E">
            <w:pPr>
              <w:widowControl/>
              <w:jc w:val="center"/>
              <w:rPr>
                <w:sz w:val="18"/>
                <w:szCs w:val="18"/>
              </w:rPr>
            </w:pPr>
            <w:r>
              <w:rPr>
                <w:sz w:val="18"/>
                <w:szCs w:val="18"/>
              </w:rPr>
              <w:t>B类</w:t>
            </w:r>
          </w:p>
        </w:tc>
      </w:tr>
      <w:tr w14:paraId="4BE018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79098DE5">
            <w:pPr>
              <w:widowControl/>
              <w:jc w:val="center"/>
              <w:rPr>
                <w:kern w:val="0"/>
                <w:sz w:val="18"/>
                <w:szCs w:val="18"/>
              </w:rPr>
            </w:pPr>
            <w:r>
              <w:rPr>
                <w:rFonts w:hint="eastAsia"/>
                <w:kern w:val="0"/>
                <w:sz w:val="18"/>
                <w:szCs w:val="18"/>
              </w:rPr>
              <w:t>17</w:t>
            </w:r>
          </w:p>
        </w:tc>
        <w:tc>
          <w:tcPr>
            <w:tcW w:w="1195" w:type="dxa"/>
            <w:tcBorders>
              <w:top w:val="single" w:color="auto" w:sz="4" w:space="0"/>
              <w:bottom w:val="single" w:color="auto" w:sz="12" w:space="0"/>
            </w:tcBorders>
            <w:vAlign w:val="center"/>
          </w:tcPr>
          <w:p w14:paraId="7E957569">
            <w:pPr>
              <w:widowControl/>
              <w:jc w:val="center"/>
              <w:rPr>
                <w:kern w:val="0"/>
                <w:sz w:val="18"/>
                <w:szCs w:val="18"/>
              </w:rPr>
            </w:pPr>
            <w:r>
              <w:rPr>
                <w:rFonts w:ascii="Calibri" w:hAnsi="Calibri"/>
                <w:sz w:val="18"/>
                <w:szCs w:val="18"/>
              </w:rPr>
              <w:t>绝缘吸水试验</w:t>
            </w:r>
            <w:r>
              <w:rPr>
                <w:rFonts w:hint="eastAsia" w:ascii="Calibri" w:hAnsi="Calibri"/>
                <w:sz w:val="18"/>
                <w:szCs w:val="18"/>
              </w:rPr>
              <w:t>（可选）</w:t>
            </w:r>
          </w:p>
        </w:tc>
        <w:tc>
          <w:tcPr>
            <w:tcW w:w="3416" w:type="dxa"/>
            <w:tcBorders>
              <w:top w:val="single" w:color="auto" w:sz="4" w:space="0"/>
              <w:bottom w:val="single" w:color="auto" w:sz="12" w:space="0"/>
            </w:tcBorders>
            <w:vAlign w:val="center"/>
          </w:tcPr>
          <w:p w14:paraId="46C63AA6">
            <w:pPr>
              <w:ind w:left="6" w:leftChars="3"/>
              <w:jc w:val="left"/>
              <w:rPr>
                <w:sz w:val="18"/>
                <w:szCs w:val="18"/>
              </w:rPr>
            </w:pPr>
            <w:r>
              <w:rPr>
                <w:sz w:val="18"/>
                <w:szCs w:val="18"/>
              </w:rPr>
              <w:t>试验结果符合GB/T 12706.2-2008表</w:t>
            </w:r>
            <w:r>
              <w:rPr>
                <w:rFonts w:hint="eastAsia"/>
                <w:sz w:val="18"/>
                <w:szCs w:val="18"/>
              </w:rPr>
              <w:t>18或表19要求。</w:t>
            </w:r>
          </w:p>
        </w:tc>
        <w:tc>
          <w:tcPr>
            <w:tcW w:w="1812" w:type="dxa"/>
            <w:tcBorders>
              <w:top w:val="single" w:color="auto" w:sz="4" w:space="0"/>
              <w:bottom w:val="single" w:color="auto" w:sz="12" w:space="0"/>
            </w:tcBorders>
            <w:vAlign w:val="center"/>
          </w:tcPr>
          <w:p w14:paraId="3DC4D5BC">
            <w:pPr>
              <w:widowControl/>
              <w:jc w:val="left"/>
              <w:rPr>
                <w:sz w:val="18"/>
                <w:szCs w:val="18"/>
              </w:rPr>
            </w:pPr>
            <w:r>
              <w:rPr>
                <w:sz w:val="18"/>
                <w:szCs w:val="18"/>
              </w:rPr>
              <w:t>GB/T 12706.2-2008</w:t>
            </w:r>
            <w:r>
              <w:rPr>
                <w:rFonts w:hint="eastAsia"/>
                <w:sz w:val="18"/>
                <w:szCs w:val="18"/>
              </w:rPr>
              <w:t>表18、表19</w:t>
            </w:r>
          </w:p>
        </w:tc>
        <w:tc>
          <w:tcPr>
            <w:tcW w:w="1392" w:type="dxa"/>
            <w:tcBorders>
              <w:top w:val="single" w:color="auto" w:sz="4" w:space="0"/>
              <w:bottom w:val="single" w:color="auto" w:sz="12" w:space="0"/>
            </w:tcBorders>
            <w:vAlign w:val="center"/>
          </w:tcPr>
          <w:p w14:paraId="4348688F">
            <w:pPr>
              <w:jc w:val="center"/>
              <w:rPr>
                <w:sz w:val="18"/>
                <w:szCs w:val="18"/>
              </w:rPr>
            </w:pPr>
            <w:r>
              <w:rPr>
                <w:sz w:val="18"/>
                <w:szCs w:val="18"/>
              </w:rPr>
              <w:t>B类</w:t>
            </w:r>
          </w:p>
        </w:tc>
      </w:tr>
      <w:tr w14:paraId="78B055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6F293A46">
            <w:pPr>
              <w:widowControl/>
              <w:jc w:val="center"/>
              <w:rPr>
                <w:kern w:val="0"/>
                <w:sz w:val="18"/>
                <w:szCs w:val="18"/>
              </w:rPr>
            </w:pPr>
            <w:r>
              <w:rPr>
                <w:rFonts w:hint="eastAsia"/>
                <w:kern w:val="0"/>
                <w:sz w:val="18"/>
                <w:szCs w:val="18"/>
              </w:rPr>
              <w:t>18</w:t>
            </w:r>
          </w:p>
        </w:tc>
        <w:tc>
          <w:tcPr>
            <w:tcW w:w="1195" w:type="dxa"/>
            <w:tcBorders>
              <w:top w:val="single" w:color="auto" w:sz="12" w:space="0"/>
            </w:tcBorders>
            <w:vAlign w:val="center"/>
          </w:tcPr>
          <w:p w14:paraId="1BAD8B24">
            <w:pPr>
              <w:widowControl/>
              <w:jc w:val="center"/>
              <w:rPr>
                <w:kern w:val="0"/>
                <w:sz w:val="18"/>
                <w:szCs w:val="18"/>
              </w:rPr>
            </w:pPr>
            <w:r>
              <w:rPr>
                <w:rFonts w:ascii="Calibri" w:hAnsi="Calibri"/>
                <w:sz w:val="18"/>
                <w:szCs w:val="18"/>
              </w:rPr>
              <w:t>绝缘屏蔽厚度</w:t>
            </w:r>
          </w:p>
        </w:tc>
        <w:tc>
          <w:tcPr>
            <w:tcW w:w="3416" w:type="dxa"/>
            <w:tcBorders>
              <w:top w:val="single" w:color="auto" w:sz="12" w:space="0"/>
              <w:bottom w:val="single" w:color="auto" w:sz="4" w:space="0"/>
            </w:tcBorders>
            <w:vAlign w:val="center"/>
          </w:tcPr>
          <w:p w14:paraId="6BBF935B">
            <w:pPr>
              <w:ind w:left="6" w:leftChars="3"/>
              <w:jc w:val="left"/>
              <w:rPr>
                <w:sz w:val="18"/>
                <w:szCs w:val="18"/>
              </w:rPr>
            </w:pPr>
            <w:r>
              <w:rPr>
                <w:rFonts w:hint="eastAsia"/>
                <w:sz w:val="18"/>
                <w:szCs w:val="18"/>
              </w:rPr>
              <w:t>平均厚度不小于0.8mm，最薄处厚度不小于0.7 mm。</w:t>
            </w:r>
          </w:p>
        </w:tc>
        <w:tc>
          <w:tcPr>
            <w:tcW w:w="1812" w:type="dxa"/>
            <w:tcBorders>
              <w:top w:val="single" w:color="auto" w:sz="12" w:space="0"/>
              <w:bottom w:val="single" w:color="auto" w:sz="4" w:space="0"/>
            </w:tcBorders>
            <w:vAlign w:val="center"/>
          </w:tcPr>
          <w:p w14:paraId="2F84FB80">
            <w:pPr>
              <w:jc w:val="left"/>
              <w:rPr>
                <w:sz w:val="18"/>
                <w:szCs w:val="18"/>
              </w:rPr>
            </w:pPr>
            <w:r>
              <w:rPr>
                <w:sz w:val="18"/>
                <w:szCs w:val="18"/>
              </w:rPr>
              <w:t>GB/T 12706.2-2008</w:t>
            </w:r>
          </w:p>
        </w:tc>
        <w:tc>
          <w:tcPr>
            <w:tcW w:w="1392" w:type="dxa"/>
            <w:tcBorders>
              <w:top w:val="single" w:color="auto" w:sz="12" w:space="0"/>
              <w:bottom w:val="single" w:color="auto" w:sz="4" w:space="0"/>
            </w:tcBorders>
            <w:vAlign w:val="center"/>
          </w:tcPr>
          <w:p w14:paraId="1BB137A4">
            <w:pPr>
              <w:jc w:val="center"/>
              <w:rPr>
                <w:sz w:val="18"/>
                <w:szCs w:val="18"/>
              </w:rPr>
            </w:pPr>
            <w:r>
              <w:rPr>
                <w:sz w:val="18"/>
                <w:szCs w:val="18"/>
              </w:rPr>
              <w:t>C类</w:t>
            </w:r>
          </w:p>
        </w:tc>
      </w:tr>
      <w:tr w14:paraId="1CED1B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1FD6E2BF">
            <w:pPr>
              <w:widowControl/>
              <w:jc w:val="center"/>
              <w:rPr>
                <w:kern w:val="0"/>
                <w:sz w:val="18"/>
                <w:szCs w:val="18"/>
              </w:rPr>
            </w:pPr>
            <w:r>
              <w:rPr>
                <w:rFonts w:hint="eastAsia"/>
                <w:kern w:val="0"/>
                <w:sz w:val="18"/>
                <w:szCs w:val="18"/>
              </w:rPr>
              <w:t>19</w:t>
            </w:r>
          </w:p>
        </w:tc>
        <w:tc>
          <w:tcPr>
            <w:tcW w:w="1195" w:type="dxa"/>
            <w:vAlign w:val="center"/>
          </w:tcPr>
          <w:p w14:paraId="11C58930">
            <w:pPr>
              <w:widowControl/>
              <w:jc w:val="center"/>
              <w:rPr>
                <w:kern w:val="0"/>
                <w:sz w:val="18"/>
                <w:szCs w:val="18"/>
              </w:rPr>
            </w:pPr>
            <w:r>
              <w:rPr>
                <w:rFonts w:ascii="Calibri" w:hAnsi="Calibri"/>
                <w:sz w:val="18"/>
                <w:szCs w:val="18"/>
              </w:rPr>
              <w:t>绝缘屏蔽电阻率</w:t>
            </w:r>
          </w:p>
        </w:tc>
        <w:tc>
          <w:tcPr>
            <w:tcW w:w="3416" w:type="dxa"/>
            <w:vAlign w:val="center"/>
          </w:tcPr>
          <w:p w14:paraId="622CBB12">
            <w:pPr>
              <w:ind w:left="6" w:leftChars="3"/>
              <w:jc w:val="left"/>
              <w:rPr>
                <w:sz w:val="18"/>
                <w:szCs w:val="18"/>
              </w:rPr>
            </w:pPr>
            <w:r>
              <w:rPr>
                <w:rFonts w:hint="eastAsia"/>
                <w:sz w:val="18"/>
                <w:szCs w:val="18"/>
              </w:rPr>
              <w:t>不大于500Ω·m。</w:t>
            </w:r>
          </w:p>
        </w:tc>
        <w:tc>
          <w:tcPr>
            <w:tcW w:w="1812" w:type="dxa"/>
            <w:vAlign w:val="center"/>
          </w:tcPr>
          <w:p w14:paraId="69118A10">
            <w:pPr>
              <w:jc w:val="left"/>
              <w:rPr>
                <w:sz w:val="18"/>
                <w:szCs w:val="18"/>
              </w:rPr>
            </w:pPr>
            <w:r>
              <w:rPr>
                <w:sz w:val="18"/>
                <w:szCs w:val="18"/>
              </w:rPr>
              <w:t>GB/T 12706.2-2008</w:t>
            </w:r>
          </w:p>
        </w:tc>
        <w:tc>
          <w:tcPr>
            <w:tcW w:w="1392" w:type="dxa"/>
            <w:vAlign w:val="center"/>
          </w:tcPr>
          <w:p w14:paraId="60EA7090">
            <w:pPr>
              <w:jc w:val="center"/>
              <w:rPr>
                <w:sz w:val="18"/>
                <w:szCs w:val="18"/>
              </w:rPr>
            </w:pPr>
            <w:r>
              <w:rPr>
                <w:rFonts w:hint="eastAsia"/>
                <w:sz w:val="18"/>
                <w:szCs w:val="18"/>
              </w:rPr>
              <w:t>B</w:t>
            </w:r>
            <w:r>
              <w:rPr>
                <w:sz w:val="18"/>
                <w:szCs w:val="18"/>
              </w:rPr>
              <w:t>类</w:t>
            </w:r>
          </w:p>
        </w:tc>
      </w:tr>
      <w:tr w14:paraId="0CFC24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4F48D43C">
            <w:pPr>
              <w:widowControl/>
              <w:jc w:val="center"/>
              <w:rPr>
                <w:kern w:val="0"/>
                <w:sz w:val="18"/>
                <w:szCs w:val="18"/>
              </w:rPr>
            </w:pPr>
            <w:r>
              <w:rPr>
                <w:rFonts w:hint="eastAsia"/>
                <w:kern w:val="0"/>
                <w:sz w:val="18"/>
                <w:szCs w:val="18"/>
              </w:rPr>
              <w:t>20</w:t>
            </w:r>
          </w:p>
        </w:tc>
        <w:tc>
          <w:tcPr>
            <w:tcW w:w="1195" w:type="dxa"/>
            <w:vAlign w:val="center"/>
          </w:tcPr>
          <w:p w14:paraId="3802F437">
            <w:pPr>
              <w:widowControl/>
              <w:jc w:val="center"/>
              <w:rPr>
                <w:kern w:val="0"/>
                <w:sz w:val="18"/>
                <w:szCs w:val="18"/>
              </w:rPr>
            </w:pPr>
            <w:r>
              <w:rPr>
                <w:rFonts w:ascii="Calibri" w:hAnsi="Calibri"/>
                <w:sz w:val="18"/>
                <w:szCs w:val="18"/>
              </w:rPr>
              <w:t>金属屏蔽厚度和搭盖率</w:t>
            </w:r>
          </w:p>
        </w:tc>
        <w:tc>
          <w:tcPr>
            <w:tcW w:w="3416" w:type="dxa"/>
            <w:vAlign w:val="center"/>
          </w:tcPr>
          <w:p w14:paraId="645FA377">
            <w:pPr>
              <w:ind w:left="6" w:leftChars="3"/>
              <w:jc w:val="left"/>
              <w:rPr>
                <w:sz w:val="18"/>
                <w:szCs w:val="18"/>
              </w:rPr>
            </w:pPr>
            <w:r>
              <w:rPr>
                <w:rFonts w:hint="eastAsia"/>
                <w:sz w:val="18"/>
                <w:szCs w:val="18"/>
              </w:rPr>
              <w:t>最小厚度应不小于标称值的90％，铜带间的平均搭盖率应不小于20％，最小搭盖率应不小于5%。</w:t>
            </w:r>
          </w:p>
        </w:tc>
        <w:tc>
          <w:tcPr>
            <w:tcW w:w="1812" w:type="dxa"/>
            <w:vAlign w:val="center"/>
          </w:tcPr>
          <w:p w14:paraId="440F02FE">
            <w:pPr>
              <w:widowControl/>
              <w:jc w:val="left"/>
              <w:rPr>
                <w:sz w:val="18"/>
                <w:szCs w:val="18"/>
              </w:rPr>
            </w:pPr>
            <w:r>
              <w:rPr>
                <w:sz w:val="18"/>
                <w:szCs w:val="18"/>
              </w:rPr>
              <w:t>GB/T 12706.2-2008</w:t>
            </w:r>
            <w:r>
              <w:rPr>
                <w:rFonts w:hint="eastAsia"/>
                <w:sz w:val="18"/>
                <w:szCs w:val="18"/>
              </w:rPr>
              <w:t>条款10.2.3</w:t>
            </w:r>
            <w:r>
              <w:rPr>
                <w:sz w:val="18"/>
                <w:szCs w:val="18"/>
              </w:rPr>
              <w:t xml:space="preserve"> </w:t>
            </w:r>
          </w:p>
        </w:tc>
        <w:tc>
          <w:tcPr>
            <w:tcW w:w="1392" w:type="dxa"/>
            <w:vAlign w:val="center"/>
          </w:tcPr>
          <w:p w14:paraId="0EF2A04B">
            <w:pPr>
              <w:jc w:val="center"/>
              <w:rPr>
                <w:sz w:val="18"/>
                <w:szCs w:val="18"/>
              </w:rPr>
            </w:pPr>
            <w:r>
              <w:rPr>
                <w:sz w:val="18"/>
                <w:szCs w:val="18"/>
              </w:rPr>
              <w:t>C类</w:t>
            </w:r>
          </w:p>
        </w:tc>
      </w:tr>
      <w:tr w14:paraId="33E00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401CB838">
            <w:pPr>
              <w:widowControl/>
              <w:jc w:val="center"/>
              <w:rPr>
                <w:kern w:val="0"/>
                <w:sz w:val="18"/>
                <w:szCs w:val="18"/>
              </w:rPr>
            </w:pPr>
            <w:r>
              <w:rPr>
                <w:rFonts w:hint="eastAsia"/>
                <w:kern w:val="0"/>
                <w:sz w:val="18"/>
                <w:szCs w:val="18"/>
              </w:rPr>
              <w:t>21</w:t>
            </w:r>
          </w:p>
        </w:tc>
        <w:tc>
          <w:tcPr>
            <w:tcW w:w="1195" w:type="dxa"/>
            <w:vAlign w:val="center"/>
          </w:tcPr>
          <w:p w14:paraId="28D41DD4">
            <w:pPr>
              <w:widowControl/>
              <w:jc w:val="center"/>
              <w:rPr>
                <w:kern w:val="0"/>
                <w:sz w:val="18"/>
                <w:szCs w:val="18"/>
              </w:rPr>
            </w:pPr>
            <w:r>
              <w:rPr>
                <w:rFonts w:ascii="Calibri" w:hAnsi="Calibri"/>
                <w:sz w:val="18"/>
                <w:szCs w:val="18"/>
              </w:rPr>
              <w:t>金属铠装厚度</w:t>
            </w:r>
          </w:p>
        </w:tc>
        <w:tc>
          <w:tcPr>
            <w:tcW w:w="3416" w:type="dxa"/>
            <w:vAlign w:val="center"/>
          </w:tcPr>
          <w:p w14:paraId="6C890D8D">
            <w:pPr>
              <w:ind w:left="6" w:leftChars="3"/>
              <w:jc w:val="left"/>
              <w:rPr>
                <w:sz w:val="18"/>
                <w:szCs w:val="18"/>
              </w:rPr>
            </w:pPr>
            <w:r>
              <w:rPr>
                <w:rFonts w:hint="eastAsia"/>
                <w:sz w:val="18"/>
                <w:szCs w:val="18"/>
              </w:rPr>
              <w:t>铠装金属带标称厚度应符合GB/T 12706.2 的要求。</w:t>
            </w:r>
          </w:p>
        </w:tc>
        <w:tc>
          <w:tcPr>
            <w:tcW w:w="1812" w:type="dxa"/>
            <w:vAlign w:val="center"/>
          </w:tcPr>
          <w:p w14:paraId="60D9DB9F">
            <w:pPr>
              <w:widowControl/>
              <w:jc w:val="left"/>
              <w:rPr>
                <w:sz w:val="18"/>
                <w:szCs w:val="18"/>
              </w:rPr>
            </w:pPr>
            <w:r>
              <w:rPr>
                <w:sz w:val="18"/>
                <w:szCs w:val="18"/>
              </w:rPr>
              <w:t>GB/T 12706.2-2008</w:t>
            </w:r>
            <w:r>
              <w:rPr>
                <w:rFonts w:hint="eastAsia"/>
                <w:sz w:val="18"/>
                <w:szCs w:val="18"/>
              </w:rPr>
              <w:t>条款17.7.2</w:t>
            </w:r>
            <w:r>
              <w:rPr>
                <w:sz w:val="18"/>
                <w:szCs w:val="18"/>
              </w:rPr>
              <w:t xml:space="preserve"> </w:t>
            </w:r>
          </w:p>
        </w:tc>
        <w:tc>
          <w:tcPr>
            <w:tcW w:w="1392" w:type="dxa"/>
            <w:vAlign w:val="center"/>
          </w:tcPr>
          <w:p w14:paraId="20CB5747">
            <w:pPr>
              <w:jc w:val="center"/>
              <w:rPr>
                <w:sz w:val="18"/>
                <w:szCs w:val="18"/>
              </w:rPr>
            </w:pPr>
            <w:r>
              <w:rPr>
                <w:sz w:val="18"/>
                <w:szCs w:val="18"/>
              </w:rPr>
              <w:t>C类</w:t>
            </w:r>
          </w:p>
        </w:tc>
      </w:tr>
      <w:tr w14:paraId="1E8E9C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33F614DD">
            <w:pPr>
              <w:widowControl/>
              <w:jc w:val="center"/>
              <w:rPr>
                <w:kern w:val="0"/>
                <w:sz w:val="18"/>
                <w:szCs w:val="18"/>
              </w:rPr>
            </w:pPr>
            <w:r>
              <w:rPr>
                <w:rFonts w:hint="eastAsia"/>
                <w:kern w:val="0"/>
                <w:sz w:val="18"/>
                <w:szCs w:val="18"/>
              </w:rPr>
              <w:t>22</w:t>
            </w:r>
          </w:p>
        </w:tc>
        <w:tc>
          <w:tcPr>
            <w:tcW w:w="1195" w:type="dxa"/>
            <w:vAlign w:val="center"/>
          </w:tcPr>
          <w:p w14:paraId="028B42CC">
            <w:pPr>
              <w:widowControl/>
              <w:jc w:val="center"/>
              <w:rPr>
                <w:sz w:val="18"/>
                <w:szCs w:val="18"/>
              </w:rPr>
            </w:pPr>
            <w:r>
              <w:rPr>
                <w:kern w:val="0"/>
                <w:sz w:val="18"/>
                <w:szCs w:val="18"/>
              </w:rPr>
              <w:t>非金属护套老化前机械性能</w:t>
            </w:r>
            <w:r>
              <w:rPr>
                <w:sz w:val="18"/>
                <w:szCs w:val="18"/>
              </w:rPr>
              <w:t>（可选）</w:t>
            </w:r>
          </w:p>
        </w:tc>
        <w:tc>
          <w:tcPr>
            <w:tcW w:w="3416" w:type="dxa"/>
            <w:vAlign w:val="center"/>
          </w:tcPr>
          <w:p w14:paraId="338E3DCA">
            <w:pPr>
              <w:ind w:left="6" w:leftChars="3"/>
              <w:jc w:val="left"/>
              <w:rPr>
                <w:sz w:val="18"/>
                <w:szCs w:val="18"/>
              </w:rPr>
            </w:pPr>
            <w:r>
              <w:rPr>
                <w:sz w:val="18"/>
                <w:szCs w:val="18"/>
              </w:rPr>
              <w:t>见GB/T 12706.2-2008表20</w:t>
            </w:r>
          </w:p>
        </w:tc>
        <w:tc>
          <w:tcPr>
            <w:tcW w:w="1812" w:type="dxa"/>
            <w:vAlign w:val="center"/>
          </w:tcPr>
          <w:p w14:paraId="72E53244">
            <w:pPr>
              <w:widowControl/>
              <w:jc w:val="left"/>
              <w:rPr>
                <w:kern w:val="0"/>
                <w:sz w:val="18"/>
                <w:szCs w:val="18"/>
              </w:rPr>
            </w:pPr>
            <w:r>
              <w:rPr>
                <w:sz w:val="18"/>
                <w:szCs w:val="18"/>
              </w:rPr>
              <w:t>GB/T 12706.2-2008表20</w:t>
            </w:r>
          </w:p>
        </w:tc>
        <w:tc>
          <w:tcPr>
            <w:tcW w:w="1392" w:type="dxa"/>
            <w:vAlign w:val="center"/>
          </w:tcPr>
          <w:p w14:paraId="5DC66146">
            <w:pPr>
              <w:jc w:val="center"/>
              <w:rPr>
                <w:sz w:val="18"/>
                <w:szCs w:val="18"/>
              </w:rPr>
            </w:pPr>
            <w:r>
              <w:rPr>
                <w:sz w:val="18"/>
                <w:szCs w:val="18"/>
              </w:rPr>
              <w:t>B类</w:t>
            </w:r>
          </w:p>
        </w:tc>
      </w:tr>
      <w:tr w14:paraId="4977A4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60285DBC">
            <w:pPr>
              <w:widowControl/>
              <w:jc w:val="center"/>
              <w:rPr>
                <w:kern w:val="0"/>
                <w:sz w:val="18"/>
                <w:szCs w:val="18"/>
              </w:rPr>
            </w:pPr>
            <w:r>
              <w:rPr>
                <w:rFonts w:hint="eastAsia"/>
                <w:kern w:val="0"/>
                <w:sz w:val="18"/>
                <w:szCs w:val="18"/>
              </w:rPr>
              <w:t>23</w:t>
            </w:r>
          </w:p>
        </w:tc>
        <w:tc>
          <w:tcPr>
            <w:tcW w:w="1195" w:type="dxa"/>
            <w:vAlign w:val="center"/>
          </w:tcPr>
          <w:p w14:paraId="07A0E35F">
            <w:pPr>
              <w:widowControl/>
              <w:jc w:val="center"/>
              <w:rPr>
                <w:kern w:val="0"/>
                <w:sz w:val="18"/>
                <w:szCs w:val="18"/>
              </w:rPr>
            </w:pPr>
            <w:r>
              <w:rPr>
                <w:kern w:val="0"/>
                <w:sz w:val="18"/>
                <w:szCs w:val="18"/>
              </w:rPr>
              <w:t>非金属护套老化后机械性能</w:t>
            </w:r>
            <w:r>
              <w:rPr>
                <w:sz w:val="18"/>
                <w:szCs w:val="18"/>
              </w:rPr>
              <w:t>（可选）</w:t>
            </w:r>
          </w:p>
        </w:tc>
        <w:tc>
          <w:tcPr>
            <w:tcW w:w="3416" w:type="dxa"/>
            <w:vAlign w:val="center"/>
          </w:tcPr>
          <w:p w14:paraId="423F6078">
            <w:pPr>
              <w:ind w:left="6" w:leftChars="3"/>
              <w:jc w:val="left"/>
              <w:rPr>
                <w:sz w:val="18"/>
                <w:szCs w:val="18"/>
              </w:rPr>
            </w:pPr>
            <w:r>
              <w:rPr>
                <w:sz w:val="18"/>
                <w:szCs w:val="18"/>
              </w:rPr>
              <w:t>见GB/T 12706.2-2008表20</w:t>
            </w:r>
          </w:p>
        </w:tc>
        <w:tc>
          <w:tcPr>
            <w:tcW w:w="1812" w:type="dxa"/>
            <w:vAlign w:val="center"/>
          </w:tcPr>
          <w:p w14:paraId="1464B4D6">
            <w:pPr>
              <w:widowControl/>
              <w:jc w:val="left"/>
              <w:rPr>
                <w:kern w:val="0"/>
                <w:sz w:val="18"/>
                <w:szCs w:val="18"/>
              </w:rPr>
            </w:pPr>
            <w:r>
              <w:rPr>
                <w:sz w:val="18"/>
                <w:szCs w:val="18"/>
              </w:rPr>
              <w:t>GB/T 12706.2-2008表20</w:t>
            </w:r>
          </w:p>
        </w:tc>
        <w:tc>
          <w:tcPr>
            <w:tcW w:w="1392" w:type="dxa"/>
            <w:vAlign w:val="center"/>
          </w:tcPr>
          <w:p w14:paraId="767A3607">
            <w:pPr>
              <w:jc w:val="center"/>
              <w:rPr>
                <w:sz w:val="18"/>
                <w:szCs w:val="18"/>
              </w:rPr>
            </w:pPr>
            <w:r>
              <w:rPr>
                <w:sz w:val="18"/>
                <w:szCs w:val="18"/>
              </w:rPr>
              <w:t>B类</w:t>
            </w:r>
          </w:p>
        </w:tc>
      </w:tr>
      <w:tr w14:paraId="448C9B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0DFDFD39">
            <w:pPr>
              <w:widowControl/>
              <w:jc w:val="center"/>
              <w:rPr>
                <w:sz w:val="18"/>
                <w:szCs w:val="18"/>
              </w:rPr>
            </w:pPr>
            <w:r>
              <w:rPr>
                <w:rFonts w:hint="eastAsia"/>
                <w:sz w:val="18"/>
                <w:szCs w:val="18"/>
              </w:rPr>
              <w:t>24</w:t>
            </w:r>
          </w:p>
        </w:tc>
        <w:tc>
          <w:tcPr>
            <w:tcW w:w="1195" w:type="dxa"/>
            <w:vAlign w:val="center"/>
          </w:tcPr>
          <w:p w14:paraId="63E83C3C">
            <w:pPr>
              <w:jc w:val="center"/>
              <w:rPr>
                <w:sz w:val="18"/>
                <w:szCs w:val="18"/>
              </w:rPr>
            </w:pPr>
            <w:r>
              <w:rPr>
                <w:sz w:val="18"/>
                <w:szCs w:val="18"/>
              </w:rPr>
              <w:t>ST</w:t>
            </w:r>
            <w:r>
              <w:rPr>
                <w:position w:val="-4"/>
                <w:sz w:val="18"/>
                <w:szCs w:val="18"/>
                <w:vertAlign w:val="subscript"/>
              </w:rPr>
              <w:t>2</w:t>
            </w:r>
            <w:r>
              <w:rPr>
                <w:sz w:val="18"/>
                <w:szCs w:val="18"/>
              </w:rPr>
              <w:t>型 PVC 护套失重试验（可选）</w:t>
            </w:r>
          </w:p>
        </w:tc>
        <w:tc>
          <w:tcPr>
            <w:tcW w:w="3416" w:type="dxa"/>
            <w:vAlign w:val="center"/>
          </w:tcPr>
          <w:p w14:paraId="5F5BC367">
            <w:pPr>
              <w:jc w:val="left"/>
              <w:rPr>
                <w:sz w:val="18"/>
                <w:szCs w:val="18"/>
              </w:rPr>
            </w:pPr>
            <w:r>
              <w:rPr>
                <w:sz w:val="18"/>
                <w:szCs w:val="18"/>
              </w:rPr>
              <w:t>老化后失重量不大于1.5 mg/cm</w:t>
            </w:r>
            <w:r>
              <w:rPr>
                <w:sz w:val="18"/>
                <w:szCs w:val="18"/>
                <w:vertAlign w:val="superscript"/>
              </w:rPr>
              <w:t>2</w:t>
            </w:r>
          </w:p>
        </w:tc>
        <w:tc>
          <w:tcPr>
            <w:tcW w:w="1812" w:type="dxa"/>
            <w:vAlign w:val="center"/>
          </w:tcPr>
          <w:p w14:paraId="5E643F0D">
            <w:pPr>
              <w:widowControl/>
              <w:jc w:val="left"/>
              <w:rPr>
                <w:sz w:val="18"/>
                <w:szCs w:val="18"/>
              </w:rPr>
            </w:pPr>
            <w:r>
              <w:rPr>
                <w:sz w:val="18"/>
                <w:szCs w:val="18"/>
              </w:rPr>
              <w:t>GB/T 12706.2-2008表21</w:t>
            </w:r>
          </w:p>
        </w:tc>
        <w:tc>
          <w:tcPr>
            <w:tcW w:w="1392" w:type="dxa"/>
            <w:vAlign w:val="center"/>
          </w:tcPr>
          <w:p w14:paraId="46D3C07F">
            <w:pPr>
              <w:jc w:val="center"/>
              <w:rPr>
                <w:sz w:val="18"/>
                <w:szCs w:val="18"/>
              </w:rPr>
            </w:pPr>
            <w:r>
              <w:rPr>
                <w:sz w:val="18"/>
                <w:szCs w:val="18"/>
              </w:rPr>
              <w:t>B类</w:t>
            </w:r>
          </w:p>
        </w:tc>
      </w:tr>
      <w:tr w14:paraId="069816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 w:type="dxa"/>
            <w:vAlign w:val="center"/>
          </w:tcPr>
          <w:p w14:paraId="61403039">
            <w:pPr>
              <w:widowControl/>
              <w:jc w:val="center"/>
              <w:rPr>
                <w:kern w:val="0"/>
                <w:sz w:val="18"/>
                <w:szCs w:val="18"/>
              </w:rPr>
            </w:pPr>
            <w:r>
              <w:rPr>
                <w:rFonts w:hint="eastAsia"/>
                <w:kern w:val="0"/>
                <w:sz w:val="18"/>
                <w:szCs w:val="18"/>
              </w:rPr>
              <w:t>25</w:t>
            </w:r>
          </w:p>
        </w:tc>
        <w:tc>
          <w:tcPr>
            <w:tcW w:w="1195" w:type="dxa"/>
            <w:vAlign w:val="center"/>
          </w:tcPr>
          <w:p w14:paraId="7686F73C">
            <w:pPr>
              <w:jc w:val="center"/>
              <w:rPr>
                <w:sz w:val="18"/>
                <w:szCs w:val="18"/>
              </w:rPr>
            </w:pPr>
            <w:r>
              <w:rPr>
                <w:sz w:val="18"/>
                <w:szCs w:val="18"/>
              </w:rPr>
              <w:t>电缆不圆度</w:t>
            </w:r>
          </w:p>
        </w:tc>
        <w:tc>
          <w:tcPr>
            <w:tcW w:w="3416" w:type="dxa"/>
            <w:vAlign w:val="center"/>
          </w:tcPr>
          <w:p w14:paraId="32C7B4A8">
            <w:pPr>
              <w:jc w:val="left"/>
              <w:rPr>
                <w:sz w:val="18"/>
                <w:szCs w:val="18"/>
              </w:rPr>
            </w:pPr>
            <w:r>
              <w:rPr>
                <w:rFonts w:hint="eastAsia"/>
                <w:sz w:val="18"/>
                <w:szCs w:val="18"/>
              </w:rPr>
              <w:t>不大于15%。</w:t>
            </w:r>
          </w:p>
        </w:tc>
        <w:tc>
          <w:tcPr>
            <w:tcW w:w="1812" w:type="dxa"/>
            <w:vAlign w:val="center"/>
          </w:tcPr>
          <w:p w14:paraId="326A4E40">
            <w:pPr>
              <w:widowControl/>
              <w:jc w:val="left"/>
              <w:rPr>
                <w:sz w:val="18"/>
                <w:szCs w:val="18"/>
              </w:rPr>
            </w:pPr>
            <w:r>
              <w:rPr>
                <w:sz w:val="18"/>
                <w:szCs w:val="18"/>
              </w:rPr>
              <w:t>GB/T 12706.2-2008</w:t>
            </w:r>
          </w:p>
        </w:tc>
        <w:tc>
          <w:tcPr>
            <w:tcW w:w="1392" w:type="dxa"/>
            <w:vAlign w:val="center"/>
          </w:tcPr>
          <w:p w14:paraId="3348B016">
            <w:pPr>
              <w:jc w:val="center"/>
              <w:rPr>
                <w:sz w:val="18"/>
                <w:szCs w:val="18"/>
              </w:rPr>
            </w:pPr>
            <w:r>
              <w:rPr>
                <w:sz w:val="18"/>
                <w:szCs w:val="18"/>
              </w:rPr>
              <w:t>C类</w:t>
            </w:r>
          </w:p>
        </w:tc>
      </w:tr>
      <w:tr w14:paraId="3B0C3B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13ACDC80">
            <w:pPr>
              <w:widowControl/>
              <w:jc w:val="center"/>
              <w:rPr>
                <w:sz w:val="18"/>
                <w:szCs w:val="18"/>
              </w:rPr>
            </w:pPr>
            <w:r>
              <w:rPr>
                <w:rFonts w:hint="eastAsia"/>
                <w:kern w:val="0"/>
                <w:sz w:val="18"/>
                <w:szCs w:val="18"/>
              </w:rPr>
              <w:t>26</w:t>
            </w:r>
          </w:p>
        </w:tc>
        <w:tc>
          <w:tcPr>
            <w:tcW w:w="1195" w:type="dxa"/>
            <w:vAlign w:val="center"/>
          </w:tcPr>
          <w:p w14:paraId="6993E8CC">
            <w:pPr>
              <w:jc w:val="center"/>
              <w:rPr>
                <w:sz w:val="18"/>
                <w:szCs w:val="18"/>
              </w:rPr>
            </w:pPr>
            <w:r>
              <w:rPr>
                <w:sz w:val="18"/>
                <w:szCs w:val="18"/>
              </w:rPr>
              <w:t>4h电压试验（可选）</w:t>
            </w:r>
          </w:p>
        </w:tc>
        <w:tc>
          <w:tcPr>
            <w:tcW w:w="3416" w:type="dxa"/>
            <w:vAlign w:val="center"/>
          </w:tcPr>
          <w:p w14:paraId="6A56D331">
            <w:pPr>
              <w:jc w:val="left"/>
              <w:rPr>
                <w:sz w:val="18"/>
                <w:szCs w:val="18"/>
              </w:rPr>
            </w:pPr>
            <w:r>
              <w:rPr>
                <w:sz w:val="18"/>
                <w:szCs w:val="18"/>
              </w:rPr>
              <w:t>交流电压4U</w:t>
            </w:r>
            <w:r>
              <w:rPr>
                <w:sz w:val="18"/>
                <w:szCs w:val="18"/>
                <w:vertAlign w:val="subscript"/>
              </w:rPr>
              <w:t>0</w:t>
            </w:r>
            <w:r>
              <w:rPr>
                <w:sz w:val="18"/>
                <w:szCs w:val="18"/>
              </w:rPr>
              <w:t>，4h，不击穿</w:t>
            </w:r>
          </w:p>
        </w:tc>
        <w:tc>
          <w:tcPr>
            <w:tcW w:w="1812" w:type="dxa"/>
            <w:vAlign w:val="center"/>
          </w:tcPr>
          <w:p w14:paraId="1FF0ED06">
            <w:pPr>
              <w:widowControl/>
              <w:jc w:val="left"/>
              <w:rPr>
                <w:sz w:val="18"/>
                <w:szCs w:val="18"/>
              </w:rPr>
            </w:pPr>
            <w:r>
              <w:rPr>
                <w:sz w:val="18"/>
                <w:szCs w:val="18"/>
              </w:rPr>
              <w:t>GB/T 12706.2-2008</w:t>
            </w:r>
            <w:r>
              <w:rPr>
                <w:rFonts w:hint="eastAsia"/>
                <w:sz w:val="18"/>
                <w:szCs w:val="18"/>
              </w:rPr>
              <w:t>条款17.9</w:t>
            </w:r>
          </w:p>
        </w:tc>
        <w:tc>
          <w:tcPr>
            <w:tcW w:w="1392" w:type="dxa"/>
            <w:vAlign w:val="center"/>
          </w:tcPr>
          <w:p w14:paraId="78C1BA12">
            <w:pPr>
              <w:jc w:val="center"/>
              <w:rPr>
                <w:sz w:val="18"/>
                <w:szCs w:val="18"/>
              </w:rPr>
            </w:pPr>
            <w:r>
              <w:rPr>
                <w:sz w:val="18"/>
                <w:szCs w:val="18"/>
              </w:rPr>
              <w:t>A类</w:t>
            </w:r>
          </w:p>
        </w:tc>
      </w:tr>
      <w:tr w14:paraId="01B239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5F62CE07">
            <w:pPr>
              <w:widowControl/>
              <w:jc w:val="center"/>
              <w:rPr>
                <w:kern w:val="0"/>
                <w:sz w:val="18"/>
                <w:szCs w:val="18"/>
              </w:rPr>
            </w:pPr>
            <w:r>
              <w:rPr>
                <w:rFonts w:hint="eastAsia"/>
                <w:kern w:val="0"/>
                <w:sz w:val="18"/>
                <w:szCs w:val="18"/>
              </w:rPr>
              <w:t>27</w:t>
            </w:r>
          </w:p>
        </w:tc>
        <w:tc>
          <w:tcPr>
            <w:tcW w:w="1195" w:type="dxa"/>
            <w:vAlign w:val="center"/>
          </w:tcPr>
          <w:p w14:paraId="6C86DCD3">
            <w:pPr>
              <w:jc w:val="center"/>
              <w:rPr>
                <w:sz w:val="18"/>
                <w:szCs w:val="18"/>
              </w:rPr>
            </w:pPr>
            <w:r>
              <w:rPr>
                <w:sz w:val="18"/>
                <w:szCs w:val="18"/>
              </w:rPr>
              <w:t>PVC</w:t>
            </w:r>
            <w:r>
              <w:rPr>
                <w:rFonts w:hint="eastAsia"/>
                <w:sz w:val="18"/>
                <w:szCs w:val="18"/>
              </w:rPr>
              <w:t>护套抗开裂试验</w:t>
            </w:r>
            <w:r>
              <w:rPr>
                <w:sz w:val="18"/>
                <w:szCs w:val="18"/>
              </w:rPr>
              <w:t>（可选）</w:t>
            </w:r>
          </w:p>
        </w:tc>
        <w:tc>
          <w:tcPr>
            <w:tcW w:w="3416" w:type="dxa"/>
            <w:vAlign w:val="center"/>
          </w:tcPr>
          <w:p w14:paraId="0CD27547">
            <w:pPr>
              <w:ind w:left="6" w:leftChars="3"/>
              <w:jc w:val="left"/>
              <w:rPr>
                <w:sz w:val="18"/>
                <w:szCs w:val="18"/>
              </w:rPr>
            </w:pPr>
            <w:r>
              <w:rPr>
                <w:sz w:val="18"/>
                <w:szCs w:val="18"/>
              </w:rPr>
              <w:t>见GB/T 12706.2-2008表2</w:t>
            </w:r>
            <w:r>
              <w:rPr>
                <w:rFonts w:hint="eastAsia"/>
                <w:sz w:val="18"/>
                <w:szCs w:val="18"/>
              </w:rPr>
              <w:t>1</w:t>
            </w:r>
          </w:p>
        </w:tc>
        <w:tc>
          <w:tcPr>
            <w:tcW w:w="1812" w:type="dxa"/>
            <w:vAlign w:val="center"/>
          </w:tcPr>
          <w:p w14:paraId="00E9EA8E">
            <w:pPr>
              <w:widowControl/>
              <w:jc w:val="left"/>
              <w:rPr>
                <w:kern w:val="0"/>
                <w:sz w:val="18"/>
                <w:szCs w:val="18"/>
              </w:rPr>
            </w:pPr>
            <w:r>
              <w:rPr>
                <w:sz w:val="18"/>
                <w:szCs w:val="18"/>
              </w:rPr>
              <w:t>GB/T 12706.2-2008表2</w:t>
            </w:r>
            <w:r>
              <w:rPr>
                <w:rFonts w:hint="eastAsia"/>
                <w:sz w:val="18"/>
                <w:szCs w:val="18"/>
              </w:rPr>
              <w:t>1</w:t>
            </w:r>
          </w:p>
        </w:tc>
        <w:tc>
          <w:tcPr>
            <w:tcW w:w="1392" w:type="dxa"/>
            <w:vAlign w:val="center"/>
          </w:tcPr>
          <w:p w14:paraId="28D8012F">
            <w:pPr>
              <w:jc w:val="center"/>
              <w:rPr>
                <w:sz w:val="18"/>
                <w:szCs w:val="18"/>
              </w:rPr>
            </w:pPr>
            <w:r>
              <w:rPr>
                <w:sz w:val="18"/>
                <w:szCs w:val="18"/>
              </w:rPr>
              <w:t>B类</w:t>
            </w:r>
          </w:p>
        </w:tc>
      </w:tr>
      <w:tr w14:paraId="165CF1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7" w:type="dxa"/>
            <w:vAlign w:val="center"/>
          </w:tcPr>
          <w:p w14:paraId="2D4FD9ED">
            <w:pPr>
              <w:widowControl/>
              <w:jc w:val="center"/>
              <w:rPr>
                <w:kern w:val="0"/>
                <w:sz w:val="18"/>
                <w:szCs w:val="18"/>
              </w:rPr>
            </w:pPr>
            <w:r>
              <w:rPr>
                <w:rFonts w:hint="eastAsia"/>
                <w:kern w:val="0"/>
                <w:sz w:val="18"/>
                <w:szCs w:val="18"/>
              </w:rPr>
              <w:t>28</w:t>
            </w:r>
          </w:p>
        </w:tc>
        <w:tc>
          <w:tcPr>
            <w:tcW w:w="1195" w:type="dxa"/>
            <w:vAlign w:val="center"/>
          </w:tcPr>
          <w:p w14:paraId="6B682437">
            <w:pPr>
              <w:jc w:val="center"/>
              <w:rPr>
                <w:sz w:val="18"/>
                <w:szCs w:val="18"/>
              </w:rPr>
            </w:pPr>
            <w:r>
              <w:rPr>
                <w:rFonts w:hint="eastAsia"/>
                <w:sz w:val="18"/>
                <w:szCs w:val="18"/>
              </w:rPr>
              <w:t>护套高温压力试验</w:t>
            </w:r>
            <w:r>
              <w:rPr>
                <w:sz w:val="18"/>
                <w:szCs w:val="18"/>
              </w:rPr>
              <w:t>（可选）</w:t>
            </w:r>
          </w:p>
        </w:tc>
        <w:tc>
          <w:tcPr>
            <w:tcW w:w="3416" w:type="dxa"/>
            <w:vAlign w:val="center"/>
          </w:tcPr>
          <w:p w14:paraId="15423347">
            <w:pPr>
              <w:ind w:left="6" w:leftChars="3"/>
              <w:jc w:val="left"/>
              <w:rPr>
                <w:sz w:val="18"/>
                <w:szCs w:val="18"/>
              </w:rPr>
            </w:pPr>
            <w:r>
              <w:rPr>
                <w:sz w:val="18"/>
                <w:szCs w:val="18"/>
              </w:rPr>
              <w:t>见GB/T 12706.2-2008表2</w:t>
            </w:r>
            <w:r>
              <w:rPr>
                <w:rFonts w:hint="eastAsia"/>
                <w:sz w:val="18"/>
                <w:szCs w:val="18"/>
              </w:rPr>
              <w:t>1、表22</w:t>
            </w:r>
          </w:p>
        </w:tc>
        <w:tc>
          <w:tcPr>
            <w:tcW w:w="1812" w:type="dxa"/>
            <w:vAlign w:val="center"/>
          </w:tcPr>
          <w:p w14:paraId="27B5EC35">
            <w:pPr>
              <w:widowControl/>
              <w:jc w:val="left"/>
              <w:rPr>
                <w:kern w:val="0"/>
                <w:sz w:val="18"/>
                <w:szCs w:val="18"/>
              </w:rPr>
            </w:pPr>
            <w:r>
              <w:rPr>
                <w:sz w:val="18"/>
                <w:szCs w:val="18"/>
              </w:rPr>
              <w:t>GB/T 12706.2-2008表2</w:t>
            </w:r>
            <w:r>
              <w:rPr>
                <w:rFonts w:hint="eastAsia"/>
                <w:sz w:val="18"/>
                <w:szCs w:val="18"/>
              </w:rPr>
              <w:t>1、表22</w:t>
            </w:r>
          </w:p>
        </w:tc>
        <w:tc>
          <w:tcPr>
            <w:tcW w:w="1392" w:type="dxa"/>
            <w:vAlign w:val="center"/>
          </w:tcPr>
          <w:p w14:paraId="093376B0">
            <w:pPr>
              <w:jc w:val="center"/>
              <w:rPr>
                <w:sz w:val="18"/>
                <w:szCs w:val="18"/>
              </w:rPr>
            </w:pPr>
            <w:r>
              <w:rPr>
                <w:sz w:val="18"/>
                <w:szCs w:val="18"/>
              </w:rPr>
              <w:t>B类</w:t>
            </w:r>
          </w:p>
        </w:tc>
      </w:tr>
    </w:tbl>
    <w:p w14:paraId="6C3902A9">
      <w:pPr>
        <w:widowControl/>
        <w:tabs>
          <w:tab w:val="center" w:pos="4201"/>
          <w:tab w:val="right" w:leader="dot" w:pos="9298"/>
        </w:tabs>
        <w:autoSpaceDE w:val="0"/>
        <w:autoSpaceDN w:val="0"/>
        <w:spacing w:before="156" w:beforeLines="50" w:after="156" w:afterLines="50"/>
        <w:ind w:firstLine="420" w:firstLineChars="200"/>
        <w:rPr>
          <w:rFonts w:ascii="黑体" w:hAnsi="黑体" w:eastAsia="黑体"/>
          <w:kern w:val="0"/>
          <w:szCs w:val="20"/>
        </w:rPr>
      </w:pPr>
      <w:r>
        <w:rPr>
          <w:rFonts w:ascii="黑体" w:hAnsi="黑体" w:eastAsia="黑体"/>
          <w:kern w:val="0"/>
          <w:szCs w:val="20"/>
        </w:rPr>
        <w:t xml:space="preserve">6.2.2 </w:t>
      </w:r>
      <w:bookmarkStart w:id="79" w:name="_Hlk104224132"/>
      <w:r>
        <w:rPr>
          <w:rFonts w:hint="eastAsia" w:ascii="黑体" w:hAnsi="黑体" w:eastAsia="黑体"/>
          <w:kern w:val="0"/>
          <w:szCs w:val="20"/>
        </w:rPr>
        <w:t>10kV高压开关柜检测项目及缺陷定级</w:t>
      </w:r>
      <w:bookmarkEnd w:id="79"/>
    </w:p>
    <w:p w14:paraId="3840F2D3">
      <w:pPr>
        <w:pStyle w:val="25"/>
        <w:ind w:firstLine="840" w:firstLineChars="400"/>
        <w:rPr>
          <w:color w:val="000000"/>
        </w:rPr>
      </w:pPr>
      <w:r>
        <w:rPr>
          <w:rFonts w:hint="eastAsia"/>
          <w:color w:val="000000"/>
        </w:rPr>
        <w:t>10kV高压开关柜检测项目及缺陷定级如表9</w:t>
      </w:r>
      <w:r>
        <w:rPr>
          <w:color w:val="000000"/>
        </w:rPr>
        <w:t>.</w:t>
      </w:r>
      <w:r>
        <w:rPr>
          <w:rFonts w:hint="eastAsia"/>
          <w:color w:val="000000"/>
        </w:rPr>
        <w:t>所示：</w:t>
      </w:r>
    </w:p>
    <w:p w14:paraId="2A2563D9">
      <w:pPr>
        <w:pStyle w:val="25"/>
        <w:spacing w:before="156" w:beforeLines="50" w:after="156" w:afterLines="50"/>
        <w:ind w:firstLine="0" w:firstLineChars="0"/>
        <w:jc w:val="center"/>
        <w:rPr>
          <w:rFonts w:ascii="黑体" w:hAnsi="黑体" w:eastAsia="黑体"/>
          <w:szCs w:val="21"/>
        </w:rPr>
      </w:pPr>
      <w:r>
        <w:rPr>
          <w:rFonts w:hint="eastAsia" w:ascii="黑体" w:hAnsi="黑体" w:eastAsia="黑体"/>
          <w:szCs w:val="21"/>
        </w:rPr>
        <w:t>表</w:t>
      </w:r>
      <w:r>
        <w:rPr>
          <w:rFonts w:ascii="黑体" w:hAnsi="黑体" w:eastAsia="黑体"/>
          <w:szCs w:val="21"/>
        </w:rPr>
        <w:t>10.</w:t>
      </w:r>
      <w:r>
        <w:rPr>
          <w:rFonts w:hint="eastAsia" w:ascii="黑体" w:hAnsi="黑体" w:eastAsia="黑体"/>
          <w:szCs w:val="21"/>
        </w:rPr>
        <w:t xml:space="preserve"> 10kV高压开关柜检测项目及缺陷定级</w:t>
      </w:r>
    </w:p>
    <w:tbl>
      <w:tblPr>
        <w:tblStyle w:val="34"/>
        <w:tblW w:w="85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4"/>
        <w:gridCol w:w="1204"/>
        <w:gridCol w:w="3401"/>
        <w:gridCol w:w="1848"/>
        <w:gridCol w:w="1365"/>
      </w:tblGrid>
      <w:tr w14:paraId="0F807F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55" w:hRule="atLeast"/>
          <w:tblHeader/>
          <w:jc w:val="center"/>
        </w:trPr>
        <w:tc>
          <w:tcPr>
            <w:tcW w:w="704" w:type="dxa"/>
            <w:tcBorders>
              <w:top w:val="single" w:color="auto" w:sz="12" w:space="0"/>
            </w:tcBorders>
            <w:vAlign w:val="center"/>
          </w:tcPr>
          <w:p w14:paraId="6228037B">
            <w:pPr>
              <w:widowControl/>
              <w:spacing w:line="276" w:lineRule="auto"/>
              <w:jc w:val="center"/>
              <w:rPr>
                <w:b/>
                <w:bCs/>
                <w:kern w:val="0"/>
                <w:sz w:val="18"/>
                <w:szCs w:val="18"/>
              </w:rPr>
            </w:pPr>
            <w:r>
              <w:rPr>
                <w:b/>
                <w:bCs/>
                <w:kern w:val="0"/>
                <w:sz w:val="18"/>
                <w:szCs w:val="18"/>
              </w:rPr>
              <w:t>序号</w:t>
            </w:r>
          </w:p>
        </w:tc>
        <w:tc>
          <w:tcPr>
            <w:tcW w:w="1204" w:type="dxa"/>
            <w:tcBorders>
              <w:top w:val="single" w:color="auto" w:sz="12" w:space="0"/>
            </w:tcBorders>
            <w:vAlign w:val="center"/>
          </w:tcPr>
          <w:p w14:paraId="341A69B7">
            <w:pPr>
              <w:widowControl/>
              <w:spacing w:line="276" w:lineRule="auto"/>
              <w:rPr>
                <w:b/>
                <w:bCs/>
                <w:kern w:val="0"/>
                <w:sz w:val="18"/>
                <w:szCs w:val="18"/>
              </w:rPr>
            </w:pPr>
            <w:r>
              <w:rPr>
                <w:b/>
                <w:bCs/>
                <w:kern w:val="0"/>
                <w:sz w:val="18"/>
                <w:szCs w:val="18"/>
              </w:rPr>
              <w:t>测试项目</w:t>
            </w:r>
          </w:p>
        </w:tc>
        <w:tc>
          <w:tcPr>
            <w:tcW w:w="3401" w:type="dxa"/>
            <w:tcBorders>
              <w:top w:val="single" w:color="auto" w:sz="12" w:space="0"/>
            </w:tcBorders>
            <w:vAlign w:val="center"/>
          </w:tcPr>
          <w:p w14:paraId="745657C3">
            <w:pPr>
              <w:spacing w:line="276" w:lineRule="auto"/>
              <w:jc w:val="center"/>
              <w:rPr>
                <w:b/>
                <w:bCs/>
                <w:kern w:val="0"/>
                <w:sz w:val="18"/>
                <w:szCs w:val="18"/>
              </w:rPr>
            </w:pPr>
            <w:r>
              <w:rPr>
                <w:b/>
                <w:bCs/>
                <w:kern w:val="0"/>
                <w:sz w:val="18"/>
                <w:szCs w:val="18"/>
              </w:rPr>
              <w:t>标准要求</w:t>
            </w:r>
          </w:p>
        </w:tc>
        <w:tc>
          <w:tcPr>
            <w:tcW w:w="1848" w:type="dxa"/>
            <w:tcBorders>
              <w:top w:val="single" w:color="auto" w:sz="12" w:space="0"/>
            </w:tcBorders>
            <w:vAlign w:val="center"/>
          </w:tcPr>
          <w:p w14:paraId="2F71BC37">
            <w:pPr>
              <w:widowControl/>
              <w:spacing w:line="276" w:lineRule="auto"/>
              <w:jc w:val="center"/>
              <w:rPr>
                <w:b/>
                <w:bCs/>
                <w:kern w:val="0"/>
                <w:sz w:val="18"/>
                <w:szCs w:val="18"/>
              </w:rPr>
            </w:pPr>
            <w:r>
              <w:rPr>
                <w:b/>
                <w:bCs/>
                <w:kern w:val="0"/>
                <w:sz w:val="18"/>
                <w:szCs w:val="18"/>
              </w:rPr>
              <w:t>标准依据</w:t>
            </w:r>
          </w:p>
        </w:tc>
        <w:tc>
          <w:tcPr>
            <w:tcW w:w="1365" w:type="dxa"/>
            <w:tcBorders>
              <w:top w:val="single" w:color="auto" w:sz="12" w:space="0"/>
            </w:tcBorders>
            <w:vAlign w:val="center"/>
          </w:tcPr>
          <w:p w14:paraId="394E64DF">
            <w:pPr>
              <w:widowControl/>
              <w:spacing w:line="276" w:lineRule="auto"/>
              <w:jc w:val="center"/>
              <w:rPr>
                <w:b/>
                <w:bCs/>
                <w:kern w:val="0"/>
                <w:sz w:val="18"/>
                <w:szCs w:val="18"/>
              </w:rPr>
            </w:pPr>
            <w:r>
              <w:rPr>
                <w:b/>
                <w:bCs/>
                <w:kern w:val="0"/>
                <w:sz w:val="18"/>
                <w:szCs w:val="18"/>
              </w:rPr>
              <w:t>项目类别</w:t>
            </w:r>
          </w:p>
        </w:tc>
      </w:tr>
      <w:tr w14:paraId="166FB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704" w:type="dxa"/>
            <w:vAlign w:val="center"/>
          </w:tcPr>
          <w:p w14:paraId="4F9AC13A">
            <w:pPr>
              <w:widowControl/>
              <w:spacing w:line="276" w:lineRule="auto"/>
              <w:jc w:val="center"/>
              <w:rPr>
                <w:kern w:val="0"/>
                <w:sz w:val="18"/>
                <w:szCs w:val="18"/>
              </w:rPr>
            </w:pPr>
            <w:r>
              <w:rPr>
                <w:kern w:val="0"/>
                <w:sz w:val="18"/>
                <w:szCs w:val="18"/>
              </w:rPr>
              <w:t>1</w:t>
            </w:r>
          </w:p>
        </w:tc>
        <w:tc>
          <w:tcPr>
            <w:tcW w:w="1204" w:type="dxa"/>
            <w:vAlign w:val="center"/>
          </w:tcPr>
          <w:p w14:paraId="7EF3A189">
            <w:pPr>
              <w:widowControl/>
              <w:spacing w:line="276" w:lineRule="auto"/>
              <w:jc w:val="left"/>
              <w:rPr>
                <w:kern w:val="0"/>
                <w:sz w:val="18"/>
                <w:szCs w:val="18"/>
              </w:rPr>
            </w:pPr>
            <w:r>
              <w:rPr>
                <w:kern w:val="0"/>
                <w:sz w:val="18"/>
                <w:szCs w:val="18"/>
              </w:rPr>
              <w:t>外观检查</w:t>
            </w:r>
          </w:p>
        </w:tc>
        <w:tc>
          <w:tcPr>
            <w:tcW w:w="3401" w:type="dxa"/>
            <w:vAlign w:val="center"/>
          </w:tcPr>
          <w:p w14:paraId="6389124F">
            <w:pPr>
              <w:widowControl/>
              <w:spacing w:line="276" w:lineRule="auto"/>
              <w:jc w:val="left"/>
              <w:rPr>
                <w:bCs/>
                <w:sz w:val="18"/>
                <w:szCs w:val="18"/>
              </w:rPr>
            </w:pPr>
            <w:r>
              <w:rPr>
                <w:bCs/>
                <w:sz w:val="18"/>
                <w:szCs w:val="18"/>
              </w:rPr>
              <w:t>1）铭牌检查：应符合</w:t>
            </w:r>
            <w:r>
              <w:rPr>
                <w:sz w:val="18"/>
                <w:szCs w:val="18"/>
                <w:lang w:val="zh-CN"/>
              </w:rPr>
              <w:t>GB/T3906-2020条款</w:t>
            </w:r>
            <w:r>
              <w:rPr>
                <w:sz w:val="18"/>
                <w:szCs w:val="18"/>
              </w:rPr>
              <w:t>5.10及</w:t>
            </w:r>
            <w:r>
              <w:rPr>
                <w:sz w:val="18"/>
                <w:szCs w:val="18"/>
                <w:lang w:val="zh-CN"/>
              </w:rPr>
              <w:t>招投标技术文件</w:t>
            </w:r>
            <w:r>
              <w:rPr>
                <w:sz w:val="18"/>
                <w:szCs w:val="18"/>
              </w:rPr>
              <w:t>的规定，</w:t>
            </w:r>
            <w:r>
              <w:rPr>
                <w:bCs/>
                <w:sz w:val="18"/>
                <w:szCs w:val="18"/>
              </w:rPr>
              <w:t>铭牌上的参数应包括</w:t>
            </w:r>
            <w:r>
              <w:rPr>
                <w:sz w:val="18"/>
                <w:szCs w:val="18"/>
                <w:lang w:val="zh-CN"/>
              </w:rPr>
              <w:t>GB/T3906-2020中</w:t>
            </w:r>
            <w:r>
              <w:rPr>
                <w:bCs/>
                <w:sz w:val="18"/>
                <w:szCs w:val="18"/>
              </w:rPr>
              <w:t>表1规定的内容；</w:t>
            </w:r>
          </w:p>
          <w:p w14:paraId="1C903F30">
            <w:pPr>
              <w:widowControl/>
              <w:spacing w:line="276" w:lineRule="auto"/>
              <w:jc w:val="left"/>
              <w:rPr>
                <w:bCs/>
                <w:sz w:val="18"/>
                <w:szCs w:val="18"/>
              </w:rPr>
            </w:pPr>
            <w:r>
              <w:rPr>
                <w:bCs/>
                <w:sz w:val="18"/>
                <w:szCs w:val="18"/>
              </w:rPr>
              <w:t>2）外观应完整、无损伤、锈蚀、变形等异常；</w:t>
            </w:r>
          </w:p>
          <w:p w14:paraId="64D4C9C9">
            <w:pPr>
              <w:widowControl/>
              <w:spacing w:line="276" w:lineRule="auto"/>
              <w:jc w:val="left"/>
              <w:rPr>
                <w:bCs/>
                <w:sz w:val="18"/>
                <w:szCs w:val="18"/>
              </w:rPr>
            </w:pPr>
            <w:r>
              <w:rPr>
                <w:bCs/>
                <w:sz w:val="18"/>
                <w:szCs w:val="18"/>
              </w:rPr>
              <w:t>3）柜体采用敷铝锌钢板或304不锈钢材质，</w:t>
            </w:r>
            <w:r>
              <w:rPr>
                <w:rFonts w:hint="eastAsia" w:ascii="宋体" w:hAnsi="宋体"/>
                <w:bCs/>
                <w:sz w:val="18"/>
                <w:szCs w:val="18"/>
              </w:rPr>
              <w:t>厚度≥2mm，</w:t>
            </w:r>
            <w:r>
              <w:rPr>
                <w:bCs/>
                <w:sz w:val="18"/>
                <w:szCs w:val="18"/>
              </w:rPr>
              <w:t>具有足够良好的防锈性能和机械强度，应有明显的厂家标识，并有防止变形的措施。</w:t>
            </w:r>
          </w:p>
        </w:tc>
        <w:tc>
          <w:tcPr>
            <w:tcW w:w="1848" w:type="dxa"/>
            <w:vAlign w:val="center"/>
          </w:tcPr>
          <w:p w14:paraId="16F39CDF">
            <w:pPr>
              <w:widowControl/>
              <w:spacing w:line="276" w:lineRule="auto"/>
              <w:jc w:val="left"/>
              <w:rPr>
                <w:kern w:val="0"/>
                <w:sz w:val="18"/>
                <w:szCs w:val="18"/>
              </w:rPr>
            </w:pPr>
            <w:r>
              <w:rPr>
                <w:sz w:val="18"/>
                <w:szCs w:val="18"/>
                <w:lang w:val="zh-CN"/>
              </w:rPr>
              <w:t>GB/T3906-2020 5.10、7.5</w:t>
            </w:r>
          </w:p>
        </w:tc>
        <w:tc>
          <w:tcPr>
            <w:tcW w:w="1365" w:type="dxa"/>
            <w:vAlign w:val="center"/>
          </w:tcPr>
          <w:p w14:paraId="1AD5C83E">
            <w:pPr>
              <w:widowControl/>
              <w:spacing w:line="276" w:lineRule="auto"/>
              <w:jc w:val="center"/>
              <w:rPr>
                <w:kern w:val="0"/>
                <w:sz w:val="18"/>
                <w:szCs w:val="18"/>
              </w:rPr>
            </w:pPr>
            <w:r>
              <w:rPr>
                <w:sz w:val="18"/>
                <w:szCs w:val="18"/>
              </w:rPr>
              <w:t>C类</w:t>
            </w:r>
          </w:p>
        </w:tc>
      </w:tr>
      <w:tr w14:paraId="5EEAA7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704" w:type="dxa"/>
            <w:vAlign w:val="center"/>
          </w:tcPr>
          <w:p w14:paraId="5631694C">
            <w:pPr>
              <w:widowControl/>
              <w:spacing w:line="276" w:lineRule="auto"/>
              <w:jc w:val="center"/>
              <w:rPr>
                <w:kern w:val="0"/>
                <w:sz w:val="18"/>
                <w:szCs w:val="18"/>
              </w:rPr>
            </w:pPr>
            <w:r>
              <w:rPr>
                <w:kern w:val="0"/>
                <w:sz w:val="18"/>
                <w:szCs w:val="18"/>
              </w:rPr>
              <w:t>2</w:t>
            </w:r>
          </w:p>
        </w:tc>
        <w:tc>
          <w:tcPr>
            <w:tcW w:w="1204" w:type="dxa"/>
            <w:vAlign w:val="center"/>
          </w:tcPr>
          <w:p w14:paraId="40A171F5">
            <w:pPr>
              <w:widowControl/>
              <w:spacing w:line="276" w:lineRule="auto"/>
              <w:jc w:val="left"/>
              <w:rPr>
                <w:kern w:val="0"/>
                <w:sz w:val="18"/>
                <w:szCs w:val="18"/>
              </w:rPr>
            </w:pPr>
            <w:r>
              <w:rPr>
                <w:kern w:val="0"/>
                <w:sz w:val="18"/>
                <w:szCs w:val="18"/>
              </w:rPr>
              <w:t>主回路电阻测量</w:t>
            </w:r>
          </w:p>
        </w:tc>
        <w:tc>
          <w:tcPr>
            <w:tcW w:w="3401" w:type="dxa"/>
            <w:vAlign w:val="center"/>
          </w:tcPr>
          <w:p w14:paraId="0C9DACAF">
            <w:pPr>
              <w:widowControl/>
              <w:spacing w:line="276" w:lineRule="auto"/>
              <w:jc w:val="left"/>
              <w:rPr>
                <w:bCs/>
                <w:sz w:val="18"/>
                <w:szCs w:val="18"/>
              </w:rPr>
            </w:pPr>
            <w:r>
              <w:rPr>
                <w:kern w:val="0"/>
                <w:sz w:val="18"/>
                <w:szCs w:val="18"/>
              </w:rPr>
              <w:t>应采用电流不小于100A的直流压降法，测量断路器、隔离开关及隔离触头的导电回路电阻。试验结果应满足厂家技术条件要求，如果进行温升试验，则还要求温升试验前后的偏差不应大于20％。</w:t>
            </w:r>
          </w:p>
        </w:tc>
        <w:tc>
          <w:tcPr>
            <w:tcW w:w="1848" w:type="dxa"/>
            <w:vAlign w:val="center"/>
          </w:tcPr>
          <w:p w14:paraId="61BBD9D1">
            <w:pPr>
              <w:widowControl w:val="0"/>
              <w:autoSpaceDE w:val="0"/>
              <w:autoSpaceDN w:val="0"/>
              <w:adjustRightInd w:val="0"/>
              <w:spacing w:line="276" w:lineRule="auto"/>
              <w:jc w:val="left"/>
              <w:rPr>
                <w:sz w:val="18"/>
                <w:szCs w:val="18"/>
                <w:lang w:val="zh-CN"/>
              </w:rPr>
            </w:pPr>
            <w:r>
              <w:rPr>
                <w:rFonts w:hint="eastAsia"/>
                <w:sz w:val="18"/>
                <w:szCs w:val="18"/>
              </w:rPr>
              <w:t>GB/T11022-2020</w:t>
            </w:r>
            <w:r>
              <w:rPr>
                <w:sz w:val="18"/>
                <w:szCs w:val="18"/>
                <w:lang w:val="zh-CN"/>
              </w:rPr>
              <w:t xml:space="preserve"> 6.4</w:t>
            </w:r>
            <w:r>
              <w:rPr>
                <w:rFonts w:hint="eastAsia"/>
                <w:sz w:val="18"/>
                <w:szCs w:val="18"/>
              </w:rPr>
              <w:t>及DL/T593-2016</w:t>
            </w:r>
            <w:r>
              <w:rPr>
                <w:sz w:val="18"/>
                <w:szCs w:val="18"/>
              </w:rPr>
              <w:t>厂家技术要求</w:t>
            </w:r>
          </w:p>
        </w:tc>
        <w:tc>
          <w:tcPr>
            <w:tcW w:w="1365" w:type="dxa"/>
            <w:vAlign w:val="center"/>
          </w:tcPr>
          <w:p w14:paraId="7EA018F7">
            <w:pPr>
              <w:widowControl/>
              <w:spacing w:line="276" w:lineRule="auto"/>
              <w:jc w:val="center"/>
              <w:rPr>
                <w:sz w:val="18"/>
                <w:szCs w:val="18"/>
              </w:rPr>
            </w:pPr>
            <w:r>
              <w:rPr>
                <w:rFonts w:hint="eastAsia"/>
                <w:sz w:val="18"/>
                <w:szCs w:val="18"/>
              </w:rPr>
              <w:t>B类</w:t>
            </w:r>
          </w:p>
        </w:tc>
      </w:tr>
      <w:tr w14:paraId="1C4F61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704" w:type="dxa"/>
            <w:vAlign w:val="center"/>
          </w:tcPr>
          <w:p w14:paraId="6B197585">
            <w:pPr>
              <w:widowControl/>
              <w:spacing w:line="276" w:lineRule="auto"/>
              <w:jc w:val="center"/>
              <w:rPr>
                <w:kern w:val="0"/>
                <w:sz w:val="18"/>
                <w:szCs w:val="18"/>
              </w:rPr>
            </w:pPr>
            <w:r>
              <w:rPr>
                <w:kern w:val="0"/>
                <w:sz w:val="18"/>
                <w:szCs w:val="18"/>
              </w:rPr>
              <w:t>3</w:t>
            </w:r>
          </w:p>
        </w:tc>
        <w:tc>
          <w:tcPr>
            <w:tcW w:w="1204" w:type="dxa"/>
            <w:vAlign w:val="center"/>
          </w:tcPr>
          <w:p w14:paraId="4ABE70CB">
            <w:pPr>
              <w:widowControl/>
              <w:spacing w:line="276" w:lineRule="auto"/>
              <w:jc w:val="left"/>
              <w:rPr>
                <w:kern w:val="0"/>
                <w:sz w:val="18"/>
                <w:szCs w:val="18"/>
              </w:rPr>
            </w:pPr>
            <w:r>
              <w:rPr>
                <w:kern w:val="0"/>
                <w:sz w:val="18"/>
                <w:szCs w:val="18"/>
              </w:rPr>
              <w:t>机械操作试验</w:t>
            </w:r>
          </w:p>
        </w:tc>
        <w:tc>
          <w:tcPr>
            <w:tcW w:w="3401" w:type="dxa"/>
            <w:vAlign w:val="center"/>
          </w:tcPr>
          <w:p w14:paraId="06F9F0CB">
            <w:pPr>
              <w:spacing w:line="276" w:lineRule="auto"/>
              <w:jc w:val="left"/>
              <w:rPr>
                <w:kern w:val="0"/>
                <w:sz w:val="18"/>
                <w:szCs w:val="18"/>
              </w:rPr>
            </w:pPr>
            <w:r>
              <w:rPr>
                <w:kern w:val="0"/>
                <w:sz w:val="18"/>
                <w:szCs w:val="18"/>
              </w:rPr>
              <w:t>1) 并联合闸脱扣器在合闸装置额定电源电压的85%到110%间，交流时在合闸装置的额定电源频率下应该正确的动作。当电源电压小于或等于额定值的30%时，不应脱扣；</w:t>
            </w:r>
          </w:p>
          <w:p w14:paraId="3D975571">
            <w:pPr>
              <w:spacing w:line="276" w:lineRule="auto"/>
              <w:jc w:val="left"/>
              <w:rPr>
                <w:kern w:val="0"/>
                <w:sz w:val="18"/>
                <w:szCs w:val="18"/>
              </w:rPr>
            </w:pPr>
            <w:r>
              <w:rPr>
                <w:kern w:val="0"/>
                <w:sz w:val="18"/>
                <w:szCs w:val="18"/>
              </w:rPr>
              <w:t>2) 并联分闸脱扣器在分闸装置额定电源电压的65%（直流）或85%（交流）到110%之间、交流时在分闸装置的额定电源频率下应正确地动作。当电源电压小于或等于额定值的30%时，不应脱扣；</w:t>
            </w:r>
          </w:p>
          <w:p w14:paraId="71B5A4A4">
            <w:pPr>
              <w:spacing w:line="276" w:lineRule="auto"/>
              <w:jc w:val="left"/>
              <w:rPr>
                <w:kern w:val="0"/>
                <w:sz w:val="18"/>
                <w:szCs w:val="18"/>
              </w:rPr>
            </w:pPr>
            <w:r>
              <w:rPr>
                <w:kern w:val="0"/>
                <w:sz w:val="18"/>
                <w:szCs w:val="18"/>
              </w:rPr>
              <w:t>3) 手动分、合断路器、隔离开关（如果有）及接地开关各5次，应可靠动作；</w:t>
            </w:r>
          </w:p>
          <w:p w14:paraId="607A2A8D">
            <w:pPr>
              <w:widowControl/>
              <w:spacing w:line="276" w:lineRule="auto"/>
              <w:jc w:val="left"/>
              <w:rPr>
                <w:kern w:val="0"/>
                <w:sz w:val="18"/>
                <w:szCs w:val="18"/>
              </w:rPr>
            </w:pPr>
            <w:r>
              <w:rPr>
                <w:kern w:val="0"/>
                <w:sz w:val="18"/>
                <w:szCs w:val="18"/>
              </w:rPr>
              <w:t>4）可抽出部件、可移开部件按要求操作5次，应可靠动作。</w:t>
            </w:r>
          </w:p>
        </w:tc>
        <w:tc>
          <w:tcPr>
            <w:tcW w:w="1848" w:type="dxa"/>
            <w:vAlign w:val="center"/>
          </w:tcPr>
          <w:p w14:paraId="49BF508B">
            <w:pPr>
              <w:autoSpaceDE w:val="0"/>
              <w:autoSpaceDN w:val="0"/>
              <w:adjustRightInd w:val="0"/>
              <w:spacing w:line="276" w:lineRule="auto"/>
              <w:jc w:val="left"/>
              <w:rPr>
                <w:sz w:val="18"/>
                <w:szCs w:val="18"/>
                <w:lang w:val="zh-CN"/>
              </w:rPr>
            </w:pPr>
            <w:r>
              <w:rPr>
                <w:sz w:val="18"/>
                <w:szCs w:val="18"/>
                <w:lang w:val="zh-CN"/>
              </w:rPr>
              <w:t>GB/T11022-2020 5.8；</w:t>
            </w:r>
          </w:p>
          <w:p w14:paraId="4B81BEDC">
            <w:pPr>
              <w:autoSpaceDE w:val="0"/>
              <w:autoSpaceDN w:val="0"/>
              <w:adjustRightInd w:val="0"/>
              <w:spacing w:line="276" w:lineRule="auto"/>
              <w:jc w:val="left"/>
              <w:rPr>
                <w:sz w:val="18"/>
                <w:szCs w:val="18"/>
                <w:lang w:val="zh-CN"/>
              </w:rPr>
            </w:pPr>
            <w:r>
              <w:rPr>
                <w:sz w:val="18"/>
                <w:szCs w:val="18"/>
                <w:lang w:val="zh-CN"/>
              </w:rPr>
              <w:t xml:space="preserve">GB/T3906-2020 6.102、7.102 </w:t>
            </w:r>
          </w:p>
        </w:tc>
        <w:tc>
          <w:tcPr>
            <w:tcW w:w="1365" w:type="dxa"/>
            <w:vAlign w:val="center"/>
          </w:tcPr>
          <w:p w14:paraId="4B83DA02">
            <w:pPr>
              <w:widowControl/>
              <w:spacing w:line="276" w:lineRule="auto"/>
              <w:jc w:val="center"/>
              <w:rPr>
                <w:sz w:val="18"/>
                <w:szCs w:val="18"/>
              </w:rPr>
            </w:pPr>
            <w:r>
              <w:rPr>
                <w:rFonts w:hint="eastAsia"/>
                <w:sz w:val="18"/>
                <w:szCs w:val="18"/>
              </w:rPr>
              <w:t>B类</w:t>
            </w:r>
          </w:p>
        </w:tc>
      </w:tr>
      <w:tr w14:paraId="448802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4" w:type="dxa"/>
            <w:vAlign w:val="center"/>
          </w:tcPr>
          <w:p w14:paraId="2C6154B3">
            <w:pPr>
              <w:widowControl/>
              <w:spacing w:line="276" w:lineRule="auto"/>
              <w:jc w:val="center"/>
              <w:rPr>
                <w:kern w:val="0"/>
                <w:sz w:val="18"/>
                <w:szCs w:val="18"/>
              </w:rPr>
            </w:pPr>
            <w:r>
              <w:rPr>
                <w:kern w:val="0"/>
                <w:sz w:val="18"/>
                <w:szCs w:val="18"/>
              </w:rPr>
              <w:t>4</w:t>
            </w:r>
          </w:p>
        </w:tc>
        <w:tc>
          <w:tcPr>
            <w:tcW w:w="1204" w:type="dxa"/>
            <w:vAlign w:val="center"/>
          </w:tcPr>
          <w:p w14:paraId="2CFB307E">
            <w:pPr>
              <w:widowControl/>
              <w:spacing w:line="276" w:lineRule="auto"/>
              <w:jc w:val="left"/>
              <w:rPr>
                <w:kern w:val="0"/>
                <w:sz w:val="18"/>
                <w:szCs w:val="18"/>
              </w:rPr>
            </w:pPr>
            <w:r>
              <w:rPr>
                <w:kern w:val="0"/>
                <w:sz w:val="18"/>
                <w:szCs w:val="18"/>
              </w:rPr>
              <w:t>机械特性试验</w:t>
            </w:r>
          </w:p>
        </w:tc>
        <w:tc>
          <w:tcPr>
            <w:tcW w:w="3401" w:type="dxa"/>
            <w:vAlign w:val="center"/>
          </w:tcPr>
          <w:p w14:paraId="3B8026F8">
            <w:pPr>
              <w:spacing w:line="276" w:lineRule="auto"/>
              <w:jc w:val="left"/>
              <w:rPr>
                <w:color w:val="000000"/>
                <w:kern w:val="0"/>
                <w:sz w:val="18"/>
                <w:szCs w:val="18"/>
              </w:rPr>
            </w:pPr>
            <w:r>
              <w:rPr>
                <w:kern w:val="0"/>
                <w:sz w:val="18"/>
                <w:szCs w:val="18"/>
              </w:rPr>
              <w:t xml:space="preserve">1) </w:t>
            </w:r>
            <w:r>
              <w:rPr>
                <w:color w:val="000000"/>
                <w:kern w:val="0"/>
                <w:sz w:val="18"/>
                <w:szCs w:val="18"/>
              </w:rPr>
              <w:t>分合闸时间应满足</w:t>
            </w:r>
            <w:r>
              <w:rPr>
                <w:sz w:val="18"/>
                <w:szCs w:val="18"/>
              </w:rPr>
              <w:t>招投标技术文件及</w:t>
            </w:r>
            <w:r>
              <w:rPr>
                <w:kern w:val="0"/>
                <w:sz w:val="18"/>
                <w:szCs w:val="18"/>
              </w:rPr>
              <w:t>厂家技术条件要求；</w:t>
            </w:r>
          </w:p>
          <w:p w14:paraId="3E63BFBA">
            <w:pPr>
              <w:spacing w:line="276" w:lineRule="auto"/>
              <w:jc w:val="left"/>
              <w:rPr>
                <w:color w:val="000000"/>
                <w:kern w:val="0"/>
                <w:sz w:val="18"/>
                <w:szCs w:val="18"/>
              </w:rPr>
            </w:pPr>
            <w:r>
              <w:rPr>
                <w:color w:val="000000"/>
                <w:kern w:val="0"/>
                <w:sz w:val="18"/>
                <w:szCs w:val="18"/>
              </w:rPr>
              <w:t>2) 合闸弹跳时间≤2ms；(仅对真空断路器)；</w:t>
            </w:r>
          </w:p>
          <w:p w14:paraId="13BF0EED">
            <w:pPr>
              <w:spacing w:line="276" w:lineRule="auto"/>
              <w:jc w:val="left"/>
              <w:rPr>
                <w:kern w:val="0"/>
                <w:sz w:val="18"/>
                <w:szCs w:val="18"/>
              </w:rPr>
            </w:pPr>
            <w:r>
              <w:rPr>
                <w:color w:val="000000"/>
                <w:kern w:val="0"/>
                <w:sz w:val="18"/>
                <w:szCs w:val="18"/>
              </w:rPr>
              <w:t>3) 三相分合闸不同期≤2ms。</w:t>
            </w:r>
          </w:p>
        </w:tc>
        <w:tc>
          <w:tcPr>
            <w:tcW w:w="1848" w:type="dxa"/>
            <w:vAlign w:val="center"/>
          </w:tcPr>
          <w:p w14:paraId="24AFEBFF">
            <w:pPr>
              <w:autoSpaceDE w:val="0"/>
              <w:autoSpaceDN w:val="0"/>
              <w:adjustRightInd w:val="0"/>
              <w:spacing w:line="276" w:lineRule="auto"/>
              <w:jc w:val="left"/>
              <w:rPr>
                <w:sz w:val="18"/>
                <w:szCs w:val="18"/>
                <w:lang w:val="zh-CN"/>
              </w:rPr>
            </w:pPr>
            <w:r>
              <w:rPr>
                <w:sz w:val="18"/>
                <w:szCs w:val="18"/>
                <w:lang w:val="zh-CN"/>
              </w:rPr>
              <w:t>GB/T3906-2020 6.102；</w:t>
            </w:r>
          </w:p>
          <w:p w14:paraId="0BFD6D28">
            <w:pPr>
              <w:widowControl/>
              <w:spacing w:line="276" w:lineRule="auto"/>
              <w:jc w:val="left"/>
              <w:rPr>
                <w:sz w:val="18"/>
                <w:szCs w:val="18"/>
                <w:lang w:val="zh-CN"/>
              </w:rPr>
            </w:pPr>
            <w:r>
              <w:rPr>
                <w:sz w:val="18"/>
                <w:szCs w:val="18"/>
                <w:lang w:val="zh-CN"/>
              </w:rPr>
              <w:t>DL/T 403-2017 5.2、6.4.1、7.2；</w:t>
            </w:r>
          </w:p>
          <w:p w14:paraId="14515101">
            <w:pPr>
              <w:autoSpaceDE w:val="0"/>
              <w:autoSpaceDN w:val="0"/>
              <w:adjustRightInd w:val="0"/>
              <w:spacing w:line="276" w:lineRule="auto"/>
              <w:jc w:val="left"/>
              <w:rPr>
                <w:sz w:val="18"/>
                <w:szCs w:val="18"/>
                <w:lang w:val="zh-CN"/>
              </w:rPr>
            </w:pPr>
            <w:r>
              <w:rPr>
                <w:sz w:val="18"/>
                <w:szCs w:val="18"/>
              </w:rPr>
              <w:t>厂家技术要求</w:t>
            </w:r>
          </w:p>
        </w:tc>
        <w:tc>
          <w:tcPr>
            <w:tcW w:w="1365" w:type="dxa"/>
            <w:vAlign w:val="center"/>
          </w:tcPr>
          <w:p w14:paraId="0E9D530E">
            <w:pPr>
              <w:widowControl/>
              <w:spacing w:line="276" w:lineRule="auto"/>
              <w:jc w:val="center"/>
              <w:rPr>
                <w:kern w:val="0"/>
                <w:sz w:val="18"/>
                <w:szCs w:val="18"/>
              </w:rPr>
            </w:pPr>
            <w:r>
              <w:rPr>
                <w:sz w:val="18"/>
                <w:szCs w:val="18"/>
              </w:rPr>
              <w:t>B类</w:t>
            </w:r>
          </w:p>
        </w:tc>
      </w:tr>
      <w:tr w14:paraId="6DE574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4" w:type="dxa"/>
            <w:vAlign w:val="center"/>
          </w:tcPr>
          <w:p w14:paraId="30DC52DD">
            <w:pPr>
              <w:widowControl/>
              <w:spacing w:line="276" w:lineRule="auto"/>
              <w:jc w:val="center"/>
              <w:rPr>
                <w:kern w:val="0"/>
                <w:sz w:val="18"/>
                <w:szCs w:val="18"/>
              </w:rPr>
            </w:pPr>
            <w:r>
              <w:rPr>
                <w:kern w:val="0"/>
                <w:sz w:val="18"/>
                <w:szCs w:val="18"/>
              </w:rPr>
              <w:t>5</w:t>
            </w:r>
          </w:p>
        </w:tc>
        <w:tc>
          <w:tcPr>
            <w:tcW w:w="1204" w:type="dxa"/>
            <w:vAlign w:val="center"/>
          </w:tcPr>
          <w:p w14:paraId="0F63A6DB">
            <w:pPr>
              <w:widowControl/>
              <w:spacing w:line="276" w:lineRule="auto"/>
              <w:jc w:val="left"/>
              <w:rPr>
                <w:kern w:val="0"/>
                <w:sz w:val="18"/>
                <w:szCs w:val="18"/>
              </w:rPr>
            </w:pPr>
            <w:r>
              <w:rPr>
                <w:kern w:val="0"/>
                <w:sz w:val="18"/>
                <w:szCs w:val="18"/>
              </w:rPr>
              <w:t>“五防”试验</w:t>
            </w:r>
          </w:p>
        </w:tc>
        <w:tc>
          <w:tcPr>
            <w:tcW w:w="3401" w:type="dxa"/>
            <w:vAlign w:val="center"/>
          </w:tcPr>
          <w:p w14:paraId="7D04C65E">
            <w:pPr>
              <w:spacing w:line="276" w:lineRule="auto"/>
              <w:jc w:val="left"/>
              <w:rPr>
                <w:kern w:val="0"/>
                <w:sz w:val="18"/>
                <w:szCs w:val="18"/>
              </w:rPr>
            </w:pPr>
            <w:r>
              <w:rPr>
                <w:kern w:val="0"/>
                <w:sz w:val="18"/>
                <w:szCs w:val="18"/>
              </w:rPr>
              <w:t>应具备完善的“五防”联锁功能（宜采用机械联锁）。如果采用非机械联锁，其设计应保证在失去辅助电源时不会出现联锁失灵的情况。但是，对于紧急操作，制造厂应给出解除联锁的措施和手动操作的其他方法，并规定其操作程序。</w:t>
            </w:r>
          </w:p>
        </w:tc>
        <w:tc>
          <w:tcPr>
            <w:tcW w:w="1848" w:type="dxa"/>
            <w:vAlign w:val="center"/>
          </w:tcPr>
          <w:p w14:paraId="3B3B07CC">
            <w:pPr>
              <w:spacing w:line="276" w:lineRule="auto"/>
              <w:jc w:val="left"/>
              <w:rPr>
                <w:sz w:val="18"/>
                <w:szCs w:val="18"/>
                <w:lang w:val="zh-CN"/>
              </w:rPr>
            </w:pPr>
            <w:r>
              <w:rPr>
                <w:sz w:val="18"/>
                <w:szCs w:val="18"/>
                <w:lang w:val="zh-CN"/>
              </w:rPr>
              <w:t>DL/T593-2016  5.11；</w:t>
            </w:r>
          </w:p>
          <w:p w14:paraId="62A6FC7E">
            <w:pPr>
              <w:spacing w:line="276" w:lineRule="auto"/>
              <w:jc w:val="left"/>
              <w:rPr>
                <w:sz w:val="18"/>
                <w:szCs w:val="18"/>
              </w:rPr>
            </w:pPr>
            <w:r>
              <w:rPr>
                <w:sz w:val="18"/>
                <w:szCs w:val="18"/>
                <w:lang w:val="zh-CN"/>
              </w:rPr>
              <w:t>GB/T3906-2020 6.102</w:t>
            </w:r>
          </w:p>
        </w:tc>
        <w:tc>
          <w:tcPr>
            <w:tcW w:w="1365" w:type="dxa"/>
            <w:vAlign w:val="center"/>
          </w:tcPr>
          <w:p w14:paraId="3B315061">
            <w:pPr>
              <w:widowControl/>
              <w:spacing w:line="276" w:lineRule="auto"/>
              <w:jc w:val="center"/>
              <w:rPr>
                <w:kern w:val="0"/>
                <w:sz w:val="18"/>
                <w:szCs w:val="18"/>
              </w:rPr>
            </w:pPr>
            <w:r>
              <w:rPr>
                <w:sz w:val="18"/>
                <w:szCs w:val="18"/>
              </w:rPr>
              <w:t>B类</w:t>
            </w:r>
          </w:p>
        </w:tc>
      </w:tr>
      <w:tr w14:paraId="390037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4" w:type="dxa"/>
            <w:vAlign w:val="center"/>
          </w:tcPr>
          <w:p w14:paraId="16B6155B">
            <w:pPr>
              <w:widowControl/>
              <w:spacing w:line="276" w:lineRule="auto"/>
              <w:jc w:val="center"/>
              <w:rPr>
                <w:kern w:val="0"/>
                <w:sz w:val="18"/>
                <w:szCs w:val="18"/>
              </w:rPr>
            </w:pPr>
            <w:r>
              <w:rPr>
                <w:kern w:val="0"/>
                <w:sz w:val="18"/>
                <w:szCs w:val="18"/>
              </w:rPr>
              <w:t>6</w:t>
            </w:r>
          </w:p>
        </w:tc>
        <w:tc>
          <w:tcPr>
            <w:tcW w:w="1204" w:type="dxa"/>
            <w:vAlign w:val="center"/>
          </w:tcPr>
          <w:p w14:paraId="625DF18A">
            <w:pPr>
              <w:widowControl/>
              <w:spacing w:line="276" w:lineRule="auto"/>
              <w:jc w:val="left"/>
              <w:rPr>
                <w:kern w:val="0"/>
                <w:sz w:val="18"/>
                <w:szCs w:val="18"/>
              </w:rPr>
            </w:pPr>
            <w:r>
              <w:rPr>
                <w:kern w:val="0"/>
                <w:sz w:val="18"/>
                <w:szCs w:val="18"/>
              </w:rPr>
              <w:t>接地金属部件的接地连续性试验</w:t>
            </w:r>
          </w:p>
        </w:tc>
        <w:tc>
          <w:tcPr>
            <w:tcW w:w="3401" w:type="dxa"/>
            <w:vAlign w:val="center"/>
          </w:tcPr>
          <w:p w14:paraId="49081ECA">
            <w:pPr>
              <w:spacing w:line="276" w:lineRule="auto"/>
              <w:jc w:val="left"/>
              <w:rPr>
                <w:kern w:val="0"/>
                <w:sz w:val="18"/>
                <w:szCs w:val="18"/>
              </w:rPr>
            </w:pPr>
            <w:r>
              <w:rPr>
                <w:kern w:val="0"/>
                <w:sz w:val="18"/>
                <w:szCs w:val="18"/>
              </w:rPr>
              <w:t>外壳的金属部件和/或金属隔板和活门以及它们的金属部件到提供的接地点应在30A（DC）的条件下进行试验，电压降应不超过3V。</w:t>
            </w:r>
          </w:p>
        </w:tc>
        <w:tc>
          <w:tcPr>
            <w:tcW w:w="1848" w:type="dxa"/>
            <w:vAlign w:val="center"/>
          </w:tcPr>
          <w:p w14:paraId="5791F530">
            <w:pPr>
              <w:widowControl/>
              <w:spacing w:line="276" w:lineRule="auto"/>
              <w:jc w:val="left"/>
              <w:rPr>
                <w:sz w:val="18"/>
                <w:szCs w:val="18"/>
              </w:rPr>
            </w:pPr>
            <w:r>
              <w:rPr>
                <w:sz w:val="18"/>
                <w:szCs w:val="18"/>
                <w:lang w:val="zh-CN"/>
              </w:rPr>
              <w:t>GB/T3906-2020 6.10.3</w:t>
            </w:r>
          </w:p>
        </w:tc>
        <w:tc>
          <w:tcPr>
            <w:tcW w:w="1365" w:type="dxa"/>
            <w:vAlign w:val="center"/>
          </w:tcPr>
          <w:p w14:paraId="1578090F">
            <w:pPr>
              <w:widowControl/>
              <w:spacing w:line="276" w:lineRule="auto"/>
              <w:jc w:val="center"/>
              <w:rPr>
                <w:kern w:val="0"/>
                <w:sz w:val="18"/>
                <w:szCs w:val="18"/>
              </w:rPr>
            </w:pPr>
            <w:r>
              <w:rPr>
                <w:sz w:val="18"/>
                <w:szCs w:val="18"/>
              </w:rPr>
              <w:t>C类</w:t>
            </w:r>
          </w:p>
        </w:tc>
      </w:tr>
      <w:tr w14:paraId="7EFACB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4" w:type="dxa"/>
            <w:vAlign w:val="center"/>
          </w:tcPr>
          <w:p w14:paraId="584BD252">
            <w:pPr>
              <w:widowControl/>
              <w:spacing w:line="276" w:lineRule="auto"/>
              <w:jc w:val="center"/>
              <w:rPr>
                <w:kern w:val="0"/>
                <w:sz w:val="18"/>
                <w:szCs w:val="18"/>
              </w:rPr>
            </w:pPr>
            <w:r>
              <w:rPr>
                <w:kern w:val="0"/>
                <w:sz w:val="18"/>
                <w:szCs w:val="18"/>
              </w:rPr>
              <w:t>7</w:t>
            </w:r>
          </w:p>
        </w:tc>
        <w:tc>
          <w:tcPr>
            <w:tcW w:w="1204" w:type="dxa"/>
            <w:vAlign w:val="center"/>
          </w:tcPr>
          <w:p w14:paraId="6FD07844">
            <w:pPr>
              <w:widowControl/>
              <w:spacing w:line="276" w:lineRule="auto"/>
              <w:jc w:val="left"/>
              <w:rPr>
                <w:kern w:val="0"/>
                <w:sz w:val="18"/>
                <w:szCs w:val="18"/>
              </w:rPr>
            </w:pPr>
            <w:r>
              <w:rPr>
                <w:kern w:val="0"/>
                <w:sz w:val="18"/>
                <w:szCs w:val="18"/>
              </w:rPr>
              <w:t>防护等级验证</w:t>
            </w:r>
          </w:p>
        </w:tc>
        <w:tc>
          <w:tcPr>
            <w:tcW w:w="3401" w:type="dxa"/>
            <w:vAlign w:val="center"/>
          </w:tcPr>
          <w:p w14:paraId="2BA2B8CC">
            <w:pPr>
              <w:spacing w:line="276" w:lineRule="auto"/>
              <w:jc w:val="left"/>
              <w:rPr>
                <w:sz w:val="18"/>
                <w:szCs w:val="18"/>
              </w:rPr>
            </w:pPr>
            <w:r>
              <w:rPr>
                <w:sz w:val="18"/>
                <w:szCs w:val="18"/>
              </w:rPr>
              <w:t>外壳防护等级应满足招投标技术文件的要求。其中，</w:t>
            </w:r>
            <w:r>
              <w:rPr>
                <w:kern w:val="0"/>
                <w:sz w:val="18"/>
                <w:szCs w:val="18"/>
              </w:rPr>
              <w:t>移开式开关柜的外壳至少要满足IP4X，隔室间至少要满足IP2X，</w:t>
            </w:r>
            <w:r>
              <w:rPr>
                <w:sz w:val="18"/>
                <w:szCs w:val="18"/>
              </w:rPr>
              <w:t>固定式开关柜的外壳至少要满足IP2X</w:t>
            </w:r>
            <w:r>
              <w:rPr>
                <w:kern w:val="0"/>
                <w:sz w:val="18"/>
                <w:szCs w:val="18"/>
              </w:rPr>
              <w:t>的防护等级。</w:t>
            </w:r>
          </w:p>
        </w:tc>
        <w:tc>
          <w:tcPr>
            <w:tcW w:w="1848" w:type="dxa"/>
            <w:vAlign w:val="center"/>
          </w:tcPr>
          <w:p w14:paraId="1C9839C3">
            <w:pPr>
              <w:autoSpaceDE w:val="0"/>
              <w:autoSpaceDN w:val="0"/>
              <w:adjustRightInd w:val="0"/>
              <w:spacing w:line="276" w:lineRule="auto"/>
              <w:jc w:val="left"/>
              <w:rPr>
                <w:sz w:val="18"/>
                <w:szCs w:val="18"/>
                <w:lang w:val="zh-CN"/>
              </w:rPr>
            </w:pPr>
            <w:r>
              <w:rPr>
                <w:sz w:val="18"/>
                <w:szCs w:val="18"/>
                <w:lang w:val="zh-CN"/>
              </w:rPr>
              <w:t>GB/T3906-2020 6.7</w:t>
            </w:r>
          </w:p>
          <w:p w14:paraId="16ECA48A">
            <w:pPr>
              <w:autoSpaceDE w:val="0"/>
              <w:autoSpaceDN w:val="0"/>
              <w:adjustRightInd w:val="0"/>
              <w:spacing w:line="276" w:lineRule="auto"/>
              <w:jc w:val="left"/>
              <w:rPr>
                <w:kern w:val="0"/>
                <w:sz w:val="18"/>
                <w:szCs w:val="18"/>
              </w:rPr>
            </w:pPr>
            <w:r>
              <w:rPr>
                <w:sz w:val="18"/>
                <w:szCs w:val="18"/>
                <w:lang w:val="zh-CN"/>
              </w:rPr>
              <w:t>GB/T4208-2017</w:t>
            </w:r>
          </w:p>
        </w:tc>
        <w:tc>
          <w:tcPr>
            <w:tcW w:w="1365" w:type="dxa"/>
            <w:vAlign w:val="center"/>
          </w:tcPr>
          <w:p w14:paraId="0F710C8A">
            <w:pPr>
              <w:widowControl/>
              <w:spacing w:line="276" w:lineRule="auto"/>
              <w:jc w:val="center"/>
              <w:rPr>
                <w:sz w:val="18"/>
                <w:szCs w:val="18"/>
              </w:rPr>
            </w:pPr>
            <w:r>
              <w:rPr>
                <w:sz w:val="18"/>
                <w:szCs w:val="18"/>
              </w:rPr>
              <w:t>B类</w:t>
            </w:r>
          </w:p>
        </w:tc>
      </w:tr>
      <w:tr w14:paraId="06A951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4" w:type="dxa"/>
            <w:vAlign w:val="center"/>
          </w:tcPr>
          <w:p w14:paraId="766822E6">
            <w:pPr>
              <w:widowControl/>
              <w:spacing w:line="276" w:lineRule="auto"/>
              <w:jc w:val="center"/>
              <w:rPr>
                <w:kern w:val="0"/>
                <w:sz w:val="18"/>
                <w:szCs w:val="18"/>
              </w:rPr>
            </w:pPr>
            <w:r>
              <w:rPr>
                <w:kern w:val="0"/>
                <w:sz w:val="18"/>
                <w:szCs w:val="18"/>
              </w:rPr>
              <w:t>8</w:t>
            </w:r>
          </w:p>
        </w:tc>
        <w:tc>
          <w:tcPr>
            <w:tcW w:w="1204" w:type="dxa"/>
            <w:vAlign w:val="center"/>
          </w:tcPr>
          <w:p w14:paraId="140FC5C5">
            <w:pPr>
              <w:widowControl/>
              <w:spacing w:line="276" w:lineRule="auto"/>
              <w:jc w:val="left"/>
              <w:rPr>
                <w:kern w:val="0"/>
                <w:sz w:val="18"/>
                <w:szCs w:val="18"/>
              </w:rPr>
            </w:pPr>
            <w:r>
              <w:rPr>
                <w:kern w:val="0"/>
                <w:sz w:val="18"/>
                <w:szCs w:val="18"/>
              </w:rPr>
              <w:t>辅助和控制回路工频耐压试验</w:t>
            </w:r>
          </w:p>
        </w:tc>
        <w:tc>
          <w:tcPr>
            <w:tcW w:w="3401" w:type="dxa"/>
            <w:vAlign w:val="center"/>
          </w:tcPr>
          <w:p w14:paraId="3C22E5EB">
            <w:pPr>
              <w:autoSpaceDE w:val="0"/>
              <w:autoSpaceDN w:val="0"/>
              <w:adjustRightInd w:val="0"/>
              <w:spacing w:line="276" w:lineRule="auto"/>
              <w:jc w:val="left"/>
              <w:rPr>
                <w:sz w:val="18"/>
                <w:szCs w:val="18"/>
                <w:lang w:val="zh-CN"/>
              </w:rPr>
            </w:pPr>
            <w:r>
              <w:rPr>
                <w:sz w:val="18"/>
                <w:szCs w:val="18"/>
                <w:lang w:val="zh-CN"/>
              </w:rPr>
              <w:t>耐受交流2kV，1min（或2.5kV，1s）无闪络、击穿。</w:t>
            </w:r>
          </w:p>
        </w:tc>
        <w:tc>
          <w:tcPr>
            <w:tcW w:w="1848" w:type="dxa"/>
            <w:vAlign w:val="center"/>
          </w:tcPr>
          <w:p w14:paraId="21DB2990">
            <w:pPr>
              <w:autoSpaceDE w:val="0"/>
              <w:autoSpaceDN w:val="0"/>
              <w:adjustRightInd w:val="0"/>
              <w:spacing w:line="276" w:lineRule="auto"/>
              <w:jc w:val="left"/>
              <w:rPr>
                <w:sz w:val="18"/>
                <w:szCs w:val="18"/>
                <w:lang w:val="zh-CN"/>
              </w:rPr>
            </w:pPr>
            <w:r>
              <w:rPr>
                <w:sz w:val="18"/>
                <w:szCs w:val="18"/>
                <w:lang w:val="zh-CN"/>
              </w:rPr>
              <w:t>GB/T11022-2020 6.10.6、7.3.4</w:t>
            </w:r>
            <w:r>
              <w:rPr>
                <w:rFonts w:hint="eastAsia"/>
                <w:sz w:val="18"/>
                <w:szCs w:val="18"/>
                <w:lang w:val="zh-CN"/>
              </w:rPr>
              <w:t>及DL/T593-2016</w:t>
            </w:r>
          </w:p>
        </w:tc>
        <w:tc>
          <w:tcPr>
            <w:tcW w:w="1365" w:type="dxa"/>
            <w:vAlign w:val="center"/>
          </w:tcPr>
          <w:p w14:paraId="6FD62DD6">
            <w:pPr>
              <w:autoSpaceDE w:val="0"/>
              <w:autoSpaceDN w:val="0"/>
              <w:adjustRightInd w:val="0"/>
              <w:spacing w:line="276" w:lineRule="auto"/>
              <w:jc w:val="center"/>
              <w:rPr>
                <w:sz w:val="18"/>
                <w:szCs w:val="18"/>
                <w:lang w:val="zh-CN"/>
              </w:rPr>
            </w:pPr>
            <w:r>
              <w:rPr>
                <w:sz w:val="18"/>
                <w:szCs w:val="18"/>
                <w:lang w:val="zh-CN"/>
              </w:rPr>
              <w:t>B类</w:t>
            </w:r>
          </w:p>
        </w:tc>
      </w:tr>
      <w:tr w14:paraId="56D5F0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4" w:type="dxa"/>
            <w:vAlign w:val="center"/>
          </w:tcPr>
          <w:p w14:paraId="289EA3F2">
            <w:pPr>
              <w:widowControl/>
              <w:spacing w:line="276" w:lineRule="auto"/>
              <w:jc w:val="center"/>
              <w:rPr>
                <w:kern w:val="0"/>
                <w:sz w:val="18"/>
                <w:szCs w:val="18"/>
              </w:rPr>
            </w:pPr>
            <w:r>
              <w:rPr>
                <w:kern w:val="0"/>
                <w:sz w:val="18"/>
                <w:szCs w:val="18"/>
              </w:rPr>
              <w:t>9</w:t>
            </w:r>
          </w:p>
        </w:tc>
        <w:tc>
          <w:tcPr>
            <w:tcW w:w="1204" w:type="dxa"/>
            <w:vAlign w:val="center"/>
          </w:tcPr>
          <w:p w14:paraId="69044E62">
            <w:pPr>
              <w:widowControl/>
              <w:spacing w:line="276" w:lineRule="auto"/>
              <w:jc w:val="left"/>
              <w:rPr>
                <w:kern w:val="0"/>
                <w:sz w:val="18"/>
                <w:szCs w:val="18"/>
              </w:rPr>
            </w:pPr>
            <w:r>
              <w:rPr>
                <w:kern w:val="0"/>
                <w:sz w:val="18"/>
                <w:szCs w:val="18"/>
              </w:rPr>
              <w:t>主回路</w:t>
            </w:r>
          </w:p>
          <w:p w14:paraId="653FECC7">
            <w:pPr>
              <w:widowControl/>
              <w:spacing w:line="276" w:lineRule="auto"/>
              <w:jc w:val="left"/>
              <w:rPr>
                <w:kern w:val="0"/>
                <w:sz w:val="18"/>
                <w:szCs w:val="18"/>
              </w:rPr>
            </w:pPr>
            <w:r>
              <w:rPr>
                <w:kern w:val="0"/>
                <w:sz w:val="18"/>
                <w:szCs w:val="18"/>
              </w:rPr>
              <w:t>工频耐压试验</w:t>
            </w:r>
          </w:p>
        </w:tc>
        <w:tc>
          <w:tcPr>
            <w:tcW w:w="3401" w:type="dxa"/>
            <w:vAlign w:val="center"/>
          </w:tcPr>
          <w:p w14:paraId="606B6CB3">
            <w:pPr>
              <w:spacing w:line="276" w:lineRule="auto"/>
              <w:jc w:val="left"/>
              <w:rPr>
                <w:kern w:val="0"/>
                <w:sz w:val="18"/>
                <w:szCs w:val="18"/>
              </w:rPr>
            </w:pPr>
            <w:r>
              <w:rPr>
                <w:kern w:val="0"/>
                <w:sz w:val="18"/>
                <w:szCs w:val="18"/>
              </w:rPr>
              <w:t>相对地、相间耐受交流42kV，1min，开关断口和隔离断口耐压交流48kV，1min，无闪络、击穿。</w:t>
            </w:r>
          </w:p>
        </w:tc>
        <w:tc>
          <w:tcPr>
            <w:tcW w:w="1848" w:type="dxa"/>
            <w:vAlign w:val="center"/>
          </w:tcPr>
          <w:p w14:paraId="14360A23">
            <w:pPr>
              <w:widowControl/>
              <w:spacing w:line="276" w:lineRule="auto"/>
              <w:jc w:val="left"/>
              <w:rPr>
                <w:kern w:val="0"/>
                <w:sz w:val="18"/>
                <w:szCs w:val="18"/>
              </w:rPr>
            </w:pPr>
            <w:r>
              <w:rPr>
                <w:sz w:val="18"/>
                <w:szCs w:val="18"/>
                <w:lang w:val="zh-CN"/>
              </w:rPr>
              <w:t>GB/T11022-2020 7.2</w:t>
            </w:r>
            <w:r>
              <w:rPr>
                <w:rFonts w:hint="eastAsia"/>
                <w:sz w:val="18"/>
                <w:szCs w:val="18"/>
                <w:lang w:val="zh-CN"/>
              </w:rPr>
              <w:t>及DL/T593-2016</w:t>
            </w:r>
          </w:p>
        </w:tc>
        <w:tc>
          <w:tcPr>
            <w:tcW w:w="1365" w:type="dxa"/>
            <w:vAlign w:val="center"/>
          </w:tcPr>
          <w:p w14:paraId="782FA4E6">
            <w:pPr>
              <w:widowControl/>
              <w:spacing w:line="276" w:lineRule="auto"/>
              <w:jc w:val="center"/>
              <w:rPr>
                <w:kern w:val="0"/>
                <w:sz w:val="18"/>
                <w:szCs w:val="18"/>
              </w:rPr>
            </w:pPr>
            <w:r>
              <w:rPr>
                <w:sz w:val="18"/>
                <w:szCs w:val="18"/>
              </w:rPr>
              <w:t>A类</w:t>
            </w:r>
          </w:p>
        </w:tc>
      </w:tr>
      <w:tr w14:paraId="10B893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4" w:type="dxa"/>
            <w:vAlign w:val="center"/>
          </w:tcPr>
          <w:p w14:paraId="687D520A">
            <w:pPr>
              <w:widowControl/>
              <w:spacing w:line="276" w:lineRule="auto"/>
              <w:jc w:val="center"/>
              <w:rPr>
                <w:kern w:val="0"/>
                <w:sz w:val="18"/>
                <w:szCs w:val="18"/>
              </w:rPr>
            </w:pPr>
            <w:r>
              <w:rPr>
                <w:kern w:val="0"/>
                <w:sz w:val="18"/>
                <w:szCs w:val="18"/>
              </w:rPr>
              <w:t>10</w:t>
            </w:r>
          </w:p>
        </w:tc>
        <w:tc>
          <w:tcPr>
            <w:tcW w:w="1204" w:type="dxa"/>
            <w:vAlign w:val="center"/>
          </w:tcPr>
          <w:p w14:paraId="2AC125A5">
            <w:pPr>
              <w:widowControl/>
              <w:spacing w:line="276" w:lineRule="auto"/>
              <w:jc w:val="left"/>
              <w:rPr>
                <w:kern w:val="0"/>
                <w:sz w:val="18"/>
                <w:szCs w:val="18"/>
              </w:rPr>
            </w:pPr>
            <w:r>
              <w:rPr>
                <w:kern w:val="0"/>
                <w:sz w:val="18"/>
                <w:szCs w:val="18"/>
              </w:rPr>
              <w:t>温升试验</w:t>
            </w:r>
          </w:p>
          <w:p w14:paraId="4ECE06E1">
            <w:pPr>
              <w:widowControl/>
              <w:spacing w:line="276" w:lineRule="auto"/>
              <w:jc w:val="left"/>
              <w:rPr>
                <w:kern w:val="0"/>
                <w:sz w:val="18"/>
                <w:szCs w:val="18"/>
              </w:rPr>
            </w:pPr>
            <w:r>
              <w:rPr>
                <w:kern w:val="0"/>
                <w:sz w:val="18"/>
                <w:szCs w:val="18"/>
              </w:rPr>
              <w:t>（可选）</w:t>
            </w:r>
          </w:p>
        </w:tc>
        <w:tc>
          <w:tcPr>
            <w:tcW w:w="3401" w:type="dxa"/>
            <w:vAlign w:val="center"/>
          </w:tcPr>
          <w:p w14:paraId="50EABAB5">
            <w:pPr>
              <w:spacing w:line="276" w:lineRule="auto"/>
              <w:jc w:val="left"/>
              <w:rPr>
                <w:kern w:val="0"/>
                <w:sz w:val="18"/>
                <w:szCs w:val="18"/>
              </w:rPr>
            </w:pPr>
            <w:r>
              <w:rPr>
                <w:kern w:val="0"/>
                <w:sz w:val="18"/>
                <w:szCs w:val="18"/>
              </w:rPr>
              <w:t>结果应符合</w:t>
            </w:r>
            <w:r>
              <w:rPr>
                <w:sz w:val="18"/>
                <w:szCs w:val="18"/>
                <w:lang w:val="zh-CN"/>
              </w:rPr>
              <w:t>GB/T11022-2020</w:t>
            </w:r>
            <w:r>
              <w:rPr>
                <w:kern w:val="0"/>
                <w:sz w:val="18"/>
                <w:szCs w:val="18"/>
              </w:rPr>
              <w:t>中条款6.5和</w:t>
            </w:r>
            <w:r>
              <w:rPr>
                <w:sz w:val="18"/>
                <w:szCs w:val="18"/>
                <w:lang w:val="zh-CN"/>
              </w:rPr>
              <w:t>GB/T3906-2020中条款</w:t>
            </w:r>
            <w:r>
              <w:rPr>
                <w:sz w:val="18"/>
                <w:szCs w:val="18"/>
              </w:rPr>
              <w:t>6.5的规定。</w:t>
            </w:r>
          </w:p>
        </w:tc>
        <w:tc>
          <w:tcPr>
            <w:tcW w:w="1848" w:type="dxa"/>
            <w:vAlign w:val="center"/>
          </w:tcPr>
          <w:p w14:paraId="58098AD8">
            <w:pPr>
              <w:widowControl/>
              <w:spacing w:line="276" w:lineRule="auto"/>
              <w:jc w:val="left"/>
              <w:rPr>
                <w:sz w:val="18"/>
                <w:szCs w:val="18"/>
                <w:lang w:val="zh-CN"/>
              </w:rPr>
            </w:pPr>
            <w:r>
              <w:rPr>
                <w:sz w:val="18"/>
                <w:szCs w:val="18"/>
                <w:lang w:val="zh-CN"/>
              </w:rPr>
              <w:t>GB/T3906-2020 6.5</w:t>
            </w:r>
          </w:p>
          <w:p w14:paraId="01205930">
            <w:pPr>
              <w:widowControl/>
              <w:spacing w:line="276" w:lineRule="auto"/>
              <w:jc w:val="left"/>
              <w:rPr>
                <w:kern w:val="0"/>
                <w:sz w:val="18"/>
                <w:szCs w:val="18"/>
              </w:rPr>
            </w:pPr>
            <w:r>
              <w:rPr>
                <w:sz w:val="18"/>
                <w:szCs w:val="18"/>
                <w:lang w:val="zh-CN"/>
              </w:rPr>
              <w:t xml:space="preserve">GB/T11022-2020 6.5 </w:t>
            </w:r>
          </w:p>
        </w:tc>
        <w:tc>
          <w:tcPr>
            <w:tcW w:w="1365" w:type="dxa"/>
            <w:vAlign w:val="center"/>
          </w:tcPr>
          <w:p w14:paraId="510A3C4F">
            <w:pPr>
              <w:widowControl/>
              <w:spacing w:line="276" w:lineRule="auto"/>
              <w:jc w:val="center"/>
              <w:rPr>
                <w:kern w:val="0"/>
                <w:sz w:val="18"/>
                <w:szCs w:val="18"/>
              </w:rPr>
            </w:pPr>
            <w:r>
              <w:rPr>
                <w:sz w:val="18"/>
                <w:szCs w:val="18"/>
              </w:rPr>
              <w:t>B类</w:t>
            </w:r>
          </w:p>
        </w:tc>
      </w:tr>
      <w:tr w14:paraId="72F3E7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4" w:type="dxa"/>
            <w:vAlign w:val="center"/>
          </w:tcPr>
          <w:p w14:paraId="14010F92">
            <w:pPr>
              <w:widowControl/>
              <w:spacing w:line="276" w:lineRule="auto"/>
              <w:jc w:val="center"/>
              <w:rPr>
                <w:kern w:val="0"/>
                <w:sz w:val="18"/>
                <w:szCs w:val="18"/>
              </w:rPr>
            </w:pPr>
            <w:r>
              <w:rPr>
                <w:kern w:val="0"/>
                <w:sz w:val="18"/>
                <w:szCs w:val="18"/>
              </w:rPr>
              <w:t>11</w:t>
            </w:r>
          </w:p>
        </w:tc>
        <w:tc>
          <w:tcPr>
            <w:tcW w:w="1204" w:type="dxa"/>
            <w:vAlign w:val="center"/>
          </w:tcPr>
          <w:p w14:paraId="07BEFFE0">
            <w:pPr>
              <w:widowControl/>
              <w:spacing w:line="276" w:lineRule="auto"/>
              <w:jc w:val="left"/>
              <w:rPr>
                <w:kern w:val="0"/>
                <w:sz w:val="18"/>
                <w:szCs w:val="18"/>
              </w:rPr>
            </w:pPr>
            <w:r>
              <w:rPr>
                <w:kern w:val="0"/>
                <w:sz w:val="18"/>
                <w:szCs w:val="18"/>
              </w:rPr>
              <w:t>主回路雷电冲击电压试验</w:t>
            </w:r>
          </w:p>
          <w:p w14:paraId="456AF1D1">
            <w:pPr>
              <w:widowControl/>
              <w:spacing w:line="276" w:lineRule="auto"/>
              <w:jc w:val="left"/>
              <w:rPr>
                <w:kern w:val="0"/>
                <w:sz w:val="18"/>
                <w:szCs w:val="18"/>
              </w:rPr>
            </w:pPr>
            <w:r>
              <w:rPr>
                <w:kern w:val="0"/>
                <w:sz w:val="18"/>
                <w:szCs w:val="18"/>
              </w:rPr>
              <w:t>（可选）</w:t>
            </w:r>
          </w:p>
        </w:tc>
        <w:tc>
          <w:tcPr>
            <w:tcW w:w="3401" w:type="dxa"/>
            <w:vAlign w:val="center"/>
          </w:tcPr>
          <w:p w14:paraId="32CBB6AB">
            <w:pPr>
              <w:spacing w:line="276" w:lineRule="auto"/>
              <w:ind w:left="-21" w:leftChars="-10"/>
              <w:jc w:val="left"/>
              <w:rPr>
                <w:kern w:val="0"/>
                <w:sz w:val="18"/>
                <w:szCs w:val="18"/>
              </w:rPr>
            </w:pPr>
            <w:r>
              <w:rPr>
                <w:kern w:val="0"/>
                <w:sz w:val="18"/>
                <w:szCs w:val="18"/>
              </w:rPr>
              <w:t>1）试验电压：相间及相对地的冲击电压75kV，开关断口冲击试验电压85kV，隔离断口85kV；</w:t>
            </w:r>
          </w:p>
          <w:p w14:paraId="4C2B8C7F">
            <w:pPr>
              <w:spacing w:line="276" w:lineRule="auto"/>
              <w:ind w:left="-21" w:leftChars="-10"/>
              <w:jc w:val="left"/>
              <w:rPr>
                <w:kern w:val="0"/>
                <w:sz w:val="18"/>
                <w:szCs w:val="18"/>
              </w:rPr>
            </w:pPr>
            <w:r>
              <w:rPr>
                <w:kern w:val="0"/>
                <w:sz w:val="18"/>
                <w:szCs w:val="18"/>
              </w:rPr>
              <w:t>2）对每一试验条件和正、负极性施加其额定耐受电压连续15次；</w:t>
            </w:r>
          </w:p>
          <w:p w14:paraId="3DB9BDD4">
            <w:pPr>
              <w:spacing w:line="276" w:lineRule="auto"/>
              <w:ind w:left="-21" w:leftChars="-10"/>
              <w:jc w:val="left"/>
              <w:rPr>
                <w:kern w:val="0"/>
                <w:sz w:val="18"/>
                <w:szCs w:val="18"/>
              </w:rPr>
            </w:pPr>
            <w:r>
              <w:rPr>
                <w:kern w:val="0"/>
                <w:sz w:val="18"/>
                <w:szCs w:val="18"/>
              </w:rPr>
              <w:t>3）如果在自恢复绝缘部分发生的破坏性放电不多于2次，按有关设备标准规定的检测方法未发现非自恢复绝缘有损坏，则认为通过试验。</w:t>
            </w:r>
          </w:p>
        </w:tc>
        <w:tc>
          <w:tcPr>
            <w:tcW w:w="1848" w:type="dxa"/>
            <w:vAlign w:val="center"/>
          </w:tcPr>
          <w:p w14:paraId="30E57462">
            <w:pPr>
              <w:widowControl/>
              <w:spacing w:line="276" w:lineRule="auto"/>
              <w:jc w:val="left"/>
              <w:rPr>
                <w:sz w:val="18"/>
                <w:szCs w:val="18"/>
                <w:lang w:val="zh-CN"/>
              </w:rPr>
            </w:pPr>
            <w:r>
              <w:rPr>
                <w:sz w:val="18"/>
                <w:szCs w:val="18"/>
                <w:lang w:val="zh-CN"/>
              </w:rPr>
              <w:t>GB/T3906-2006 6.2.6.2</w:t>
            </w:r>
          </w:p>
          <w:p w14:paraId="6DAEA113">
            <w:pPr>
              <w:widowControl/>
              <w:spacing w:line="276" w:lineRule="auto"/>
              <w:jc w:val="left"/>
              <w:rPr>
                <w:kern w:val="0"/>
                <w:sz w:val="18"/>
                <w:szCs w:val="18"/>
              </w:rPr>
            </w:pPr>
            <w:r>
              <w:rPr>
                <w:sz w:val="18"/>
                <w:szCs w:val="18"/>
                <w:lang w:val="zh-CN"/>
              </w:rPr>
              <w:t xml:space="preserve">GB/T 11022-2011 6.2.5、6.2.7.3 </w:t>
            </w:r>
          </w:p>
        </w:tc>
        <w:tc>
          <w:tcPr>
            <w:tcW w:w="1365" w:type="dxa"/>
            <w:vAlign w:val="center"/>
          </w:tcPr>
          <w:p w14:paraId="5F664F0F">
            <w:pPr>
              <w:widowControl/>
              <w:spacing w:line="276" w:lineRule="auto"/>
              <w:jc w:val="center"/>
              <w:rPr>
                <w:kern w:val="0"/>
                <w:sz w:val="18"/>
                <w:szCs w:val="18"/>
              </w:rPr>
            </w:pPr>
            <w:r>
              <w:rPr>
                <w:sz w:val="18"/>
                <w:szCs w:val="18"/>
              </w:rPr>
              <w:t>A类</w:t>
            </w:r>
          </w:p>
        </w:tc>
      </w:tr>
      <w:tr w14:paraId="3E4A18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704" w:type="dxa"/>
            <w:vAlign w:val="center"/>
          </w:tcPr>
          <w:p w14:paraId="120D1539">
            <w:pPr>
              <w:widowControl/>
              <w:spacing w:line="276" w:lineRule="auto"/>
              <w:jc w:val="center"/>
              <w:rPr>
                <w:kern w:val="0"/>
                <w:sz w:val="18"/>
                <w:szCs w:val="18"/>
              </w:rPr>
            </w:pPr>
            <w:r>
              <w:rPr>
                <w:kern w:val="0"/>
                <w:sz w:val="18"/>
                <w:szCs w:val="18"/>
              </w:rPr>
              <w:t>12</w:t>
            </w:r>
          </w:p>
        </w:tc>
        <w:tc>
          <w:tcPr>
            <w:tcW w:w="1204" w:type="dxa"/>
            <w:vAlign w:val="center"/>
          </w:tcPr>
          <w:p w14:paraId="1AF3F8F6">
            <w:pPr>
              <w:widowControl/>
              <w:spacing w:line="276" w:lineRule="auto"/>
              <w:jc w:val="left"/>
              <w:rPr>
                <w:kern w:val="0"/>
                <w:sz w:val="18"/>
                <w:szCs w:val="18"/>
              </w:rPr>
            </w:pPr>
            <w:r>
              <w:rPr>
                <w:kern w:val="0"/>
                <w:sz w:val="18"/>
                <w:szCs w:val="18"/>
              </w:rPr>
              <w:t>非金属隔板和活门的试验（可选）</w:t>
            </w:r>
          </w:p>
        </w:tc>
        <w:tc>
          <w:tcPr>
            <w:tcW w:w="3401" w:type="dxa"/>
            <w:vAlign w:val="center"/>
          </w:tcPr>
          <w:p w14:paraId="1CA2B343">
            <w:pPr>
              <w:spacing w:line="276" w:lineRule="auto"/>
              <w:ind w:left="-21" w:leftChars="-10"/>
              <w:jc w:val="left"/>
              <w:rPr>
                <w:kern w:val="0"/>
                <w:sz w:val="18"/>
                <w:szCs w:val="18"/>
              </w:rPr>
            </w:pPr>
            <w:r>
              <w:rPr>
                <w:kern w:val="0"/>
                <w:sz w:val="18"/>
                <w:szCs w:val="18"/>
              </w:rPr>
              <w:t>1、主回路带电部件与绝缘隔板和活门的可触及表面之间的绝缘应耐受交流42kV，1min。</w:t>
            </w:r>
          </w:p>
          <w:p w14:paraId="28C3C62B">
            <w:pPr>
              <w:spacing w:line="276" w:lineRule="auto"/>
              <w:ind w:left="-21" w:leftChars="-10"/>
              <w:jc w:val="left"/>
              <w:rPr>
                <w:kern w:val="0"/>
                <w:sz w:val="18"/>
                <w:szCs w:val="18"/>
              </w:rPr>
            </w:pPr>
            <w:r>
              <w:rPr>
                <w:kern w:val="0"/>
                <w:sz w:val="18"/>
                <w:szCs w:val="18"/>
              </w:rPr>
              <w:t>2、主回路带电部件与绝缘隔板和活门面向这些带电部件的内表面间的绝缘应耐受18kV，1min，隔板或活门的内表面应通过位于最严酷点的至少100m</w:t>
            </w:r>
            <w:r>
              <w:rPr>
                <w:kern w:val="0"/>
                <w:sz w:val="18"/>
                <w:szCs w:val="18"/>
                <w:vertAlign w:val="superscript"/>
              </w:rPr>
              <w:t>2</w:t>
            </w:r>
            <w:r>
              <w:rPr>
                <w:kern w:val="0"/>
                <w:sz w:val="18"/>
                <w:szCs w:val="18"/>
              </w:rPr>
              <w:t>的导电层接地。</w:t>
            </w:r>
          </w:p>
          <w:p w14:paraId="79961544">
            <w:pPr>
              <w:spacing w:line="276" w:lineRule="auto"/>
              <w:ind w:left="-21" w:leftChars="-10"/>
              <w:jc w:val="left"/>
              <w:rPr>
                <w:kern w:val="0"/>
                <w:sz w:val="18"/>
                <w:szCs w:val="18"/>
              </w:rPr>
            </w:pPr>
            <w:r>
              <w:rPr>
                <w:kern w:val="0"/>
                <w:sz w:val="18"/>
                <w:szCs w:val="18"/>
              </w:rPr>
              <w:t>3、将主回路带电部分连接到一起接到电压等于额定电压的单相电源上，将不大于100cm</w:t>
            </w:r>
            <w:r>
              <w:rPr>
                <w:kern w:val="0"/>
                <w:sz w:val="18"/>
                <w:szCs w:val="18"/>
                <w:vertAlign w:val="superscript"/>
              </w:rPr>
              <w:t>2</w:t>
            </w:r>
            <w:r>
              <w:rPr>
                <w:kern w:val="0"/>
                <w:sz w:val="18"/>
                <w:szCs w:val="18"/>
              </w:rPr>
              <w:t>的圆形或方形金属箔置于能防止触及到带电部分的可触及的绝缘表面上的最不利的位置，开关柜外壳和框架接地，在干燥、洁净的绝缘体上测量经过金属箔流到地的泄漏电流，泄漏电流应不超过0.5mA。</w:t>
            </w:r>
          </w:p>
        </w:tc>
        <w:tc>
          <w:tcPr>
            <w:tcW w:w="1848" w:type="dxa"/>
            <w:vAlign w:val="center"/>
          </w:tcPr>
          <w:p w14:paraId="0DBAD402">
            <w:pPr>
              <w:widowControl/>
              <w:spacing w:line="276" w:lineRule="auto"/>
              <w:jc w:val="left"/>
              <w:rPr>
                <w:sz w:val="18"/>
                <w:szCs w:val="18"/>
              </w:rPr>
            </w:pPr>
            <w:r>
              <w:rPr>
                <w:sz w:val="18"/>
                <w:szCs w:val="18"/>
                <w:lang w:val="zh-CN"/>
              </w:rPr>
              <w:t xml:space="preserve">GB/T3906-2020 6.104 </w:t>
            </w:r>
          </w:p>
        </w:tc>
        <w:tc>
          <w:tcPr>
            <w:tcW w:w="1365" w:type="dxa"/>
            <w:vAlign w:val="center"/>
          </w:tcPr>
          <w:p w14:paraId="5363FF68">
            <w:pPr>
              <w:widowControl/>
              <w:spacing w:line="276" w:lineRule="auto"/>
              <w:jc w:val="center"/>
              <w:rPr>
                <w:sz w:val="18"/>
                <w:szCs w:val="18"/>
              </w:rPr>
            </w:pPr>
            <w:r>
              <w:rPr>
                <w:sz w:val="18"/>
                <w:szCs w:val="18"/>
              </w:rPr>
              <w:t>C类</w:t>
            </w:r>
          </w:p>
        </w:tc>
      </w:tr>
      <w:tr w14:paraId="2566AF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81" w:hRule="atLeast"/>
          <w:jc w:val="center"/>
        </w:trPr>
        <w:tc>
          <w:tcPr>
            <w:tcW w:w="704" w:type="dxa"/>
            <w:vAlign w:val="center"/>
          </w:tcPr>
          <w:p w14:paraId="6E5AB602">
            <w:pPr>
              <w:widowControl/>
              <w:spacing w:line="276" w:lineRule="auto"/>
              <w:jc w:val="center"/>
              <w:rPr>
                <w:kern w:val="0"/>
                <w:sz w:val="18"/>
                <w:szCs w:val="18"/>
              </w:rPr>
            </w:pPr>
            <w:r>
              <w:rPr>
                <w:kern w:val="0"/>
                <w:sz w:val="18"/>
                <w:szCs w:val="18"/>
              </w:rPr>
              <w:t>13</w:t>
            </w:r>
          </w:p>
        </w:tc>
        <w:tc>
          <w:tcPr>
            <w:tcW w:w="1204" w:type="dxa"/>
            <w:vAlign w:val="center"/>
          </w:tcPr>
          <w:p w14:paraId="29056D67">
            <w:pPr>
              <w:widowControl/>
              <w:spacing w:line="276" w:lineRule="auto"/>
              <w:jc w:val="left"/>
              <w:rPr>
                <w:kern w:val="0"/>
                <w:sz w:val="18"/>
                <w:szCs w:val="18"/>
              </w:rPr>
            </w:pPr>
            <w:r>
              <w:rPr>
                <w:kern w:val="0"/>
                <w:sz w:val="18"/>
                <w:szCs w:val="18"/>
              </w:rPr>
              <w:t>绝缘件局放试验（可选）</w:t>
            </w:r>
          </w:p>
        </w:tc>
        <w:tc>
          <w:tcPr>
            <w:tcW w:w="3401" w:type="dxa"/>
            <w:vAlign w:val="center"/>
          </w:tcPr>
          <w:p w14:paraId="5042D9DD">
            <w:pPr>
              <w:tabs>
                <w:tab w:val="left" w:pos="420"/>
                <w:tab w:val="left" w:pos="640"/>
                <w:tab w:val="left" w:pos="840"/>
              </w:tabs>
              <w:adjustRightInd w:val="0"/>
              <w:snapToGrid w:val="0"/>
              <w:spacing w:line="276" w:lineRule="auto"/>
              <w:textAlignment w:val="center"/>
              <w:rPr>
                <w:kern w:val="0"/>
                <w:sz w:val="18"/>
                <w:szCs w:val="18"/>
              </w:rPr>
            </w:pPr>
            <w:r>
              <w:rPr>
                <w:kern w:val="0"/>
                <w:sz w:val="18"/>
                <w:szCs w:val="18"/>
              </w:rPr>
              <w:t>局部放电量测量按</w:t>
            </w:r>
            <w:r>
              <w:rPr>
                <w:sz w:val="18"/>
                <w:szCs w:val="18"/>
                <w:lang w:val="zh-CN"/>
              </w:rPr>
              <w:t>DL/T 404-2007</w:t>
            </w:r>
            <w:r>
              <w:rPr>
                <w:kern w:val="0"/>
                <w:sz w:val="18"/>
                <w:szCs w:val="18"/>
              </w:rPr>
              <w:t>中 7.101 的规定。有断口或无断口的固体绝缘组件（有断口的绝缘组件在额定开距下）在施加1.2Ur下：</w:t>
            </w:r>
          </w:p>
          <w:p w14:paraId="2FACDE22">
            <w:pPr>
              <w:adjustRightInd w:val="0"/>
              <w:snapToGrid w:val="0"/>
              <w:spacing w:line="276" w:lineRule="auto"/>
              <w:rPr>
                <w:kern w:val="0"/>
                <w:sz w:val="18"/>
                <w:szCs w:val="18"/>
              </w:rPr>
            </w:pPr>
            <w:r>
              <w:rPr>
                <w:kern w:val="0"/>
                <w:sz w:val="18"/>
                <w:szCs w:val="18"/>
              </w:rPr>
              <w:t>绝缘零部件≤5 pC；</w:t>
            </w:r>
          </w:p>
          <w:p w14:paraId="15D298F1">
            <w:pPr>
              <w:tabs>
                <w:tab w:val="left" w:pos="420"/>
                <w:tab w:val="left" w:pos="640"/>
                <w:tab w:val="left" w:pos="840"/>
              </w:tabs>
              <w:adjustRightInd w:val="0"/>
              <w:snapToGrid w:val="0"/>
              <w:spacing w:line="276" w:lineRule="auto"/>
              <w:textAlignment w:val="center"/>
              <w:rPr>
                <w:kern w:val="0"/>
                <w:sz w:val="18"/>
                <w:szCs w:val="18"/>
              </w:rPr>
            </w:pPr>
            <w:r>
              <w:rPr>
                <w:kern w:val="0"/>
                <w:sz w:val="18"/>
                <w:szCs w:val="18"/>
              </w:rPr>
              <w:t>断路器柜、负荷开关柜、组合电器柜≤20 pC。</w:t>
            </w:r>
          </w:p>
        </w:tc>
        <w:tc>
          <w:tcPr>
            <w:tcW w:w="1848" w:type="dxa"/>
            <w:vAlign w:val="center"/>
          </w:tcPr>
          <w:p w14:paraId="4B42202E">
            <w:pPr>
              <w:widowControl/>
              <w:spacing w:line="276" w:lineRule="auto"/>
              <w:jc w:val="left"/>
              <w:rPr>
                <w:sz w:val="18"/>
                <w:szCs w:val="18"/>
                <w:lang w:val="zh-CN"/>
              </w:rPr>
            </w:pPr>
            <w:r>
              <w:rPr>
                <w:sz w:val="18"/>
                <w:szCs w:val="18"/>
                <w:lang w:val="zh-CN"/>
              </w:rPr>
              <w:t>DL/T 404-2018 7.101</w:t>
            </w:r>
          </w:p>
          <w:p w14:paraId="42D95B41">
            <w:pPr>
              <w:widowControl/>
              <w:spacing w:line="276" w:lineRule="auto"/>
              <w:jc w:val="left"/>
              <w:rPr>
                <w:sz w:val="18"/>
                <w:szCs w:val="18"/>
              </w:rPr>
            </w:pPr>
            <w:r>
              <w:rPr>
                <w:sz w:val="18"/>
                <w:szCs w:val="18"/>
                <w:lang w:val="zh-CN"/>
              </w:rPr>
              <w:t>招投标技术文件</w:t>
            </w:r>
          </w:p>
        </w:tc>
        <w:tc>
          <w:tcPr>
            <w:tcW w:w="1365" w:type="dxa"/>
            <w:vAlign w:val="center"/>
          </w:tcPr>
          <w:p w14:paraId="278E9E96">
            <w:pPr>
              <w:widowControl/>
              <w:spacing w:line="276" w:lineRule="auto"/>
              <w:jc w:val="center"/>
              <w:rPr>
                <w:sz w:val="18"/>
                <w:szCs w:val="18"/>
              </w:rPr>
            </w:pPr>
            <w:r>
              <w:rPr>
                <w:sz w:val="18"/>
                <w:szCs w:val="18"/>
              </w:rPr>
              <w:t>A类</w:t>
            </w:r>
          </w:p>
        </w:tc>
      </w:tr>
      <w:tr w14:paraId="25E00F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82" w:hRule="atLeast"/>
          <w:jc w:val="center"/>
        </w:trPr>
        <w:tc>
          <w:tcPr>
            <w:tcW w:w="704" w:type="dxa"/>
            <w:vAlign w:val="center"/>
          </w:tcPr>
          <w:p w14:paraId="6F63736E">
            <w:pPr>
              <w:widowControl/>
              <w:spacing w:line="276" w:lineRule="auto"/>
              <w:jc w:val="center"/>
              <w:rPr>
                <w:kern w:val="0"/>
                <w:sz w:val="18"/>
                <w:szCs w:val="18"/>
              </w:rPr>
            </w:pPr>
            <w:r>
              <w:rPr>
                <w:rFonts w:hint="eastAsia"/>
                <w:kern w:val="0"/>
                <w:sz w:val="18"/>
                <w:szCs w:val="18"/>
              </w:rPr>
              <w:t>1</w:t>
            </w:r>
            <w:r>
              <w:rPr>
                <w:kern w:val="0"/>
                <w:sz w:val="18"/>
                <w:szCs w:val="18"/>
              </w:rPr>
              <w:t>4</w:t>
            </w:r>
          </w:p>
        </w:tc>
        <w:tc>
          <w:tcPr>
            <w:tcW w:w="1204" w:type="dxa"/>
            <w:vAlign w:val="center"/>
          </w:tcPr>
          <w:p w14:paraId="55503693">
            <w:pPr>
              <w:widowControl/>
              <w:spacing w:line="276" w:lineRule="auto"/>
              <w:jc w:val="left"/>
              <w:rPr>
                <w:kern w:val="0"/>
                <w:sz w:val="18"/>
                <w:szCs w:val="18"/>
              </w:rPr>
            </w:pPr>
            <w:r>
              <w:rPr>
                <w:kern w:val="0"/>
                <w:sz w:val="18"/>
                <w:szCs w:val="18"/>
              </w:rPr>
              <w:t>内部电弧试验</w:t>
            </w:r>
            <w:r>
              <w:rPr>
                <w:rFonts w:hint="eastAsia"/>
                <w:kern w:val="0"/>
                <w:sz w:val="18"/>
                <w:szCs w:val="18"/>
              </w:rPr>
              <w:t>（可选）</w:t>
            </w:r>
          </w:p>
        </w:tc>
        <w:tc>
          <w:tcPr>
            <w:tcW w:w="3401" w:type="dxa"/>
            <w:vAlign w:val="center"/>
          </w:tcPr>
          <w:p w14:paraId="014A89BC">
            <w:pPr>
              <w:tabs>
                <w:tab w:val="left" w:pos="420"/>
                <w:tab w:val="left" w:pos="640"/>
                <w:tab w:val="left" w:pos="840"/>
              </w:tabs>
              <w:adjustRightInd w:val="0"/>
              <w:snapToGrid w:val="0"/>
              <w:spacing w:line="276" w:lineRule="auto"/>
              <w:textAlignment w:val="center"/>
              <w:rPr>
                <w:kern w:val="0"/>
                <w:sz w:val="18"/>
                <w:szCs w:val="18"/>
              </w:rPr>
            </w:pPr>
            <w:r>
              <w:rPr>
                <w:kern w:val="0"/>
                <w:sz w:val="18"/>
                <w:szCs w:val="18"/>
              </w:rPr>
              <w:t>所有可能在试验的预期持续时间结束之前自动使回路脱扣的装置</w:t>
            </w:r>
            <w:r>
              <w:rPr>
                <w:rFonts w:hint="eastAsia"/>
                <w:kern w:val="0"/>
                <w:sz w:val="18"/>
                <w:szCs w:val="18"/>
              </w:rPr>
              <w:t>（如保护继电器），在试验期间不应动作。</w:t>
            </w:r>
          </w:p>
        </w:tc>
        <w:tc>
          <w:tcPr>
            <w:tcW w:w="1848" w:type="dxa"/>
            <w:vAlign w:val="center"/>
          </w:tcPr>
          <w:p w14:paraId="2392AD17">
            <w:pPr>
              <w:widowControl/>
              <w:spacing w:line="276" w:lineRule="auto"/>
              <w:jc w:val="left"/>
              <w:rPr>
                <w:sz w:val="18"/>
                <w:szCs w:val="18"/>
                <w:lang w:val="zh-CN"/>
              </w:rPr>
            </w:pPr>
            <w:r>
              <w:rPr>
                <w:rFonts w:hint="eastAsia"/>
                <w:sz w:val="18"/>
                <w:szCs w:val="18"/>
                <w:lang w:val="zh-CN"/>
              </w:rPr>
              <w:t>GB/T3906-2020第6.106</w:t>
            </w:r>
          </w:p>
        </w:tc>
        <w:tc>
          <w:tcPr>
            <w:tcW w:w="1365" w:type="dxa"/>
            <w:vAlign w:val="center"/>
          </w:tcPr>
          <w:p w14:paraId="4D07233F">
            <w:pPr>
              <w:widowControl/>
              <w:spacing w:line="276" w:lineRule="auto"/>
              <w:jc w:val="center"/>
              <w:rPr>
                <w:sz w:val="18"/>
                <w:szCs w:val="18"/>
              </w:rPr>
            </w:pPr>
            <w:r>
              <w:rPr>
                <w:sz w:val="18"/>
                <w:szCs w:val="18"/>
              </w:rPr>
              <w:t>A类</w:t>
            </w:r>
          </w:p>
        </w:tc>
      </w:tr>
      <w:tr w14:paraId="2929C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1" w:hRule="atLeast"/>
          <w:jc w:val="center"/>
        </w:trPr>
        <w:tc>
          <w:tcPr>
            <w:tcW w:w="8522" w:type="dxa"/>
            <w:gridSpan w:val="5"/>
            <w:tcBorders>
              <w:bottom w:val="single" w:color="auto" w:sz="12" w:space="0"/>
            </w:tcBorders>
            <w:vAlign w:val="center"/>
          </w:tcPr>
          <w:p w14:paraId="1FC72616">
            <w:pPr>
              <w:widowControl/>
              <w:rPr>
                <w:kern w:val="0"/>
                <w:sz w:val="18"/>
                <w:szCs w:val="18"/>
              </w:rPr>
            </w:pPr>
            <w:r>
              <w:rPr>
                <w:kern w:val="0"/>
                <w:sz w:val="18"/>
                <w:szCs w:val="18"/>
              </w:rPr>
              <w:t>备注1：检测项目分必选项目和可选项目。必选项目每次必检，可选项目根据需要进行抽检。</w:t>
            </w:r>
          </w:p>
          <w:p w14:paraId="360CEE96">
            <w:pPr>
              <w:widowControl/>
              <w:spacing w:line="276" w:lineRule="auto"/>
              <w:rPr>
                <w:sz w:val="18"/>
                <w:szCs w:val="18"/>
              </w:rPr>
            </w:pPr>
            <w:r>
              <w:rPr>
                <w:kern w:val="0"/>
                <w:sz w:val="18"/>
                <w:szCs w:val="18"/>
              </w:rPr>
              <w:t>备注2：1-9项为必检项目，10-1</w:t>
            </w:r>
            <w:r>
              <w:rPr>
                <w:rFonts w:hint="eastAsia"/>
                <w:kern w:val="0"/>
                <w:sz w:val="18"/>
                <w:szCs w:val="18"/>
              </w:rPr>
              <w:t>5</w:t>
            </w:r>
            <w:r>
              <w:rPr>
                <w:kern w:val="0"/>
                <w:sz w:val="18"/>
                <w:szCs w:val="18"/>
              </w:rPr>
              <w:t>项为可选项目。</w:t>
            </w:r>
          </w:p>
        </w:tc>
      </w:tr>
    </w:tbl>
    <w:p w14:paraId="43AE4BC4">
      <w:pPr>
        <w:widowControl/>
        <w:tabs>
          <w:tab w:val="center" w:pos="4201"/>
          <w:tab w:val="right" w:leader="dot" w:pos="9298"/>
        </w:tabs>
        <w:autoSpaceDE w:val="0"/>
        <w:autoSpaceDN w:val="0"/>
        <w:ind w:firstLine="420" w:firstLineChars="200"/>
        <w:rPr>
          <w:rFonts w:ascii="宋体"/>
          <w:kern w:val="0"/>
          <w:szCs w:val="20"/>
        </w:rPr>
      </w:pPr>
    </w:p>
    <w:p w14:paraId="109D7892">
      <w:pPr>
        <w:widowControl/>
        <w:tabs>
          <w:tab w:val="center" w:pos="4201"/>
          <w:tab w:val="right" w:leader="dot" w:pos="9298"/>
        </w:tabs>
        <w:autoSpaceDE w:val="0"/>
        <w:autoSpaceDN w:val="0"/>
        <w:spacing w:before="156" w:beforeLines="50" w:after="156" w:afterLines="50"/>
        <w:ind w:firstLine="420" w:firstLineChars="200"/>
        <w:rPr>
          <w:rFonts w:ascii="黑体" w:hAnsi="黑体" w:eastAsia="黑体"/>
          <w:kern w:val="0"/>
          <w:szCs w:val="20"/>
        </w:rPr>
      </w:pPr>
      <w:r>
        <w:rPr>
          <w:rFonts w:ascii="黑体" w:hAnsi="黑体" w:eastAsia="黑体"/>
          <w:kern w:val="0"/>
          <w:szCs w:val="20"/>
        </w:rPr>
        <w:t>6.2.3</w:t>
      </w:r>
      <w:r>
        <w:rPr>
          <w:rFonts w:hint="eastAsia" w:ascii="黑体" w:hAnsi="黑体" w:eastAsia="黑体"/>
          <w:kern w:val="0"/>
          <w:szCs w:val="20"/>
        </w:rPr>
        <w:t xml:space="preserve"> 10kV油浸式变压器检测项目及缺陷定级</w:t>
      </w:r>
    </w:p>
    <w:p w14:paraId="47819925">
      <w:pPr>
        <w:pStyle w:val="25"/>
        <w:ind w:firstLine="840" w:firstLineChars="400"/>
        <w:rPr>
          <w:color w:val="000000"/>
        </w:rPr>
      </w:pPr>
      <w:r>
        <w:rPr>
          <w:rFonts w:hint="eastAsia"/>
          <w:color w:val="000000"/>
        </w:rPr>
        <w:t>10kV油浸式变压器检测项目及缺陷定级如表</w:t>
      </w:r>
      <w:r>
        <w:rPr>
          <w:color w:val="000000"/>
        </w:rPr>
        <w:t>11.</w:t>
      </w:r>
      <w:r>
        <w:rPr>
          <w:rFonts w:hint="eastAsia"/>
          <w:color w:val="000000"/>
        </w:rPr>
        <w:t>所示：</w:t>
      </w:r>
    </w:p>
    <w:p w14:paraId="75F78D10">
      <w:pPr>
        <w:pStyle w:val="25"/>
        <w:spacing w:before="156" w:beforeLines="50" w:after="156" w:afterLines="50"/>
        <w:ind w:firstLine="0" w:firstLineChars="0"/>
        <w:jc w:val="center"/>
        <w:rPr>
          <w:rFonts w:ascii="黑体" w:hAnsi="黑体" w:eastAsia="黑体"/>
          <w:szCs w:val="21"/>
        </w:rPr>
      </w:pPr>
      <w:r>
        <w:rPr>
          <w:rFonts w:hint="eastAsia" w:ascii="黑体" w:hAnsi="黑体" w:eastAsia="黑体"/>
          <w:szCs w:val="21"/>
        </w:rPr>
        <w:t>表</w:t>
      </w:r>
      <w:r>
        <w:rPr>
          <w:rFonts w:ascii="黑体" w:hAnsi="黑体" w:eastAsia="黑体"/>
          <w:szCs w:val="21"/>
        </w:rPr>
        <w:t>11.</w:t>
      </w:r>
      <w:r>
        <w:rPr>
          <w:rFonts w:hint="eastAsia"/>
        </w:rPr>
        <w:t xml:space="preserve"> </w:t>
      </w:r>
      <w:r>
        <w:rPr>
          <w:rFonts w:hint="eastAsia" w:ascii="黑体" w:hAnsi="黑体" w:eastAsia="黑体"/>
          <w:szCs w:val="21"/>
        </w:rPr>
        <w:t>10kV油浸式变压器检测项目及缺陷定级</w:t>
      </w:r>
    </w:p>
    <w:tbl>
      <w:tblPr>
        <w:tblStyle w:val="34"/>
        <w:tblW w:w="852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190"/>
        <w:gridCol w:w="3401"/>
        <w:gridCol w:w="1862"/>
        <w:gridCol w:w="1365"/>
      </w:tblGrid>
      <w:tr w14:paraId="2A4B5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tblHeader/>
          <w:jc w:val="center"/>
        </w:trPr>
        <w:tc>
          <w:tcPr>
            <w:tcW w:w="704" w:type="dxa"/>
            <w:shd w:val="clear" w:color="auto" w:fill="auto"/>
            <w:vAlign w:val="center"/>
          </w:tcPr>
          <w:p w14:paraId="04272EC4">
            <w:pPr>
              <w:widowControl/>
              <w:spacing w:line="276" w:lineRule="auto"/>
              <w:jc w:val="center"/>
              <w:rPr>
                <w:b/>
                <w:bCs/>
                <w:kern w:val="0"/>
                <w:sz w:val="18"/>
                <w:szCs w:val="18"/>
              </w:rPr>
            </w:pPr>
            <w:r>
              <w:rPr>
                <w:b/>
                <w:bCs/>
                <w:kern w:val="0"/>
                <w:sz w:val="18"/>
                <w:szCs w:val="18"/>
              </w:rPr>
              <w:t>序号</w:t>
            </w:r>
          </w:p>
        </w:tc>
        <w:tc>
          <w:tcPr>
            <w:tcW w:w="1190" w:type="dxa"/>
            <w:shd w:val="clear" w:color="auto" w:fill="auto"/>
            <w:vAlign w:val="center"/>
          </w:tcPr>
          <w:p w14:paraId="6E39D1BE">
            <w:pPr>
              <w:widowControl/>
              <w:spacing w:line="276" w:lineRule="auto"/>
              <w:jc w:val="center"/>
              <w:rPr>
                <w:b/>
                <w:bCs/>
                <w:kern w:val="0"/>
                <w:sz w:val="18"/>
                <w:szCs w:val="18"/>
              </w:rPr>
            </w:pPr>
            <w:r>
              <w:rPr>
                <w:b/>
                <w:bCs/>
                <w:kern w:val="0"/>
                <w:sz w:val="18"/>
                <w:szCs w:val="18"/>
              </w:rPr>
              <w:t>测试项目</w:t>
            </w:r>
          </w:p>
        </w:tc>
        <w:tc>
          <w:tcPr>
            <w:tcW w:w="3401" w:type="dxa"/>
            <w:shd w:val="clear" w:color="auto" w:fill="auto"/>
            <w:vAlign w:val="center"/>
          </w:tcPr>
          <w:p w14:paraId="3B305D3C">
            <w:pPr>
              <w:spacing w:line="276" w:lineRule="auto"/>
              <w:jc w:val="center"/>
              <w:rPr>
                <w:b/>
                <w:bCs/>
                <w:kern w:val="0"/>
                <w:sz w:val="18"/>
                <w:szCs w:val="18"/>
              </w:rPr>
            </w:pPr>
            <w:r>
              <w:rPr>
                <w:b/>
                <w:bCs/>
                <w:kern w:val="0"/>
                <w:sz w:val="18"/>
                <w:szCs w:val="18"/>
              </w:rPr>
              <w:t>标准要求</w:t>
            </w:r>
          </w:p>
        </w:tc>
        <w:tc>
          <w:tcPr>
            <w:tcW w:w="1862" w:type="dxa"/>
            <w:vAlign w:val="center"/>
          </w:tcPr>
          <w:p w14:paraId="4975A056">
            <w:pPr>
              <w:widowControl/>
              <w:spacing w:line="276" w:lineRule="auto"/>
              <w:jc w:val="center"/>
              <w:rPr>
                <w:b/>
                <w:bCs/>
                <w:kern w:val="0"/>
                <w:sz w:val="18"/>
                <w:szCs w:val="18"/>
              </w:rPr>
            </w:pPr>
            <w:r>
              <w:rPr>
                <w:b/>
                <w:bCs/>
                <w:kern w:val="0"/>
                <w:sz w:val="18"/>
                <w:szCs w:val="18"/>
              </w:rPr>
              <w:t>标准依据</w:t>
            </w:r>
          </w:p>
        </w:tc>
        <w:tc>
          <w:tcPr>
            <w:tcW w:w="1365" w:type="dxa"/>
            <w:vAlign w:val="center"/>
          </w:tcPr>
          <w:p w14:paraId="4094DF67">
            <w:pPr>
              <w:widowControl/>
              <w:spacing w:line="276" w:lineRule="auto"/>
              <w:jc w:val="center"/>
              <w:rPr>
                <w:b/>
                <w:bCs/>
                <w:kern w:val="0"/>
                <w:sz w:val="18"/>
                <w:szCs w:val="18"/>
              </w:rPr>
            </w:pPr>
            <w:r>
              <w:rPr>
                <w:b/>
                <w:bCs/>
                <w:kern w:val="0"/>
                <w:sz w:val="18"/>
                <w:szCs w:val="18"/>
              </w:rPr>
              <w:t>项目类别</w:t>
            </w:r>
          </w:p>
        </w:tc>
      </w:tr>
      <w:tr w14:paraId="64E4D7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04" w:type="dxa"/>
            <w:shd w:val="clear" w:color="auto" w:fill="auto"/>
            <w:vAlign w:val="center"/>
          </w:tcPr>
          <w:p w14:paraId="282075F9">
            <w:pPr>
              <w:widowControl/>
              <w:spacing w:line="276" w:lineRule="auto"/>
              <w:jc w:val="center"/>
              <w:rPr>
                <w:kern w:val="0"/>
                <w:sz w:val="18"/>
                <w:szCs w:val="18"/>
              </w:rPr>
            </w:pPr>
            <w:r>
              <w:rPr>
                <w:kern w:val="0"/>
                <w:sz w:val="18"/>
                <w:szCs w:val="18"/>
              </w:rPr>
              <w:t>1</w:t>
            </w:r>
          </w:p>
        </w:tc>
        <w:tc>
          <w:tcPr>
            <w:tcW w:w="1190" w:type="dxa"/>
            <w:shd w:val="clear" w:color="auto" w:fill="auto"/>
            <w:vAlign w:val="center"/>
          </w:tcPr>
          <w:p w14:paraId="005AAB4D">
            <w:pPr>
              <w:widowControl/>
              <w:spacing w:line="276" w:lineRule="auto"/>
              <w:jc w:val="center"/>
              <w:rPr>
                <w:kern w:val="0"/>
                <w:sz w:val="18"/>
                <w:szCs w:val="18"/>
              </w:rPr>
            </w:pPr>
            <w:r>
              <w:rPr>
                <w:kern w:val="0"/>
                <w:sz w:val="18"/>
                <w:szCs w:val="18"/>
              </w:rPr>
              <w:t>外观检查</w:t>
            </w:r>
          </w:p>
        </w:tc>
        <w:tc>
          <w:tcPr>
            <w:tcW w:w="3401" w:type="dxa"/>
            <w:shd w:val="clear" w:color="auto" w:fill="auto"/>
            <w:vAlign w:val="center"/>
          </w:tcPr>
          <w:p w14:paraId="316A5448">
            <w:pPr>
              <w:widowControl/>
              <w:spacing w:line="276" w:lineRule="auto"/>
              <w:jc w:val="left"/>
              <w:rPr>
                <w:bCs/>
                <w:sz w:val="18"/>
                <w:szCs w:val="18"/>
              </w:rPr>
            </w:pPr>
            <w:r>
              <w:rPr>
                <w:bCs/>
                <w:sz w:val="18"/>
                <w:szCs w:val="18"/>
              </w:rPr>
              <w:t>变压器铭牌应采用不锈钢材料制作，耐腐蚀，要求外形尺寸为230*180mm，厚度应不小于1.0mm，并应固定在变压器低压侧波纹片居中位置。铭牌上所标志的项目内容应清晰且安装牢固。变压器外观完整、无损伤。</w:t>
            </w:r>
          </w:p>
          <w:p w14:paraId="5730278C">
            <w:pPr>
              <w:widowControl/>
              <w:spacing w:line="276" w:lineRule="auto"/>
              <w:jc w:val="left"/>
              <w:rPr>
                <w:kern w:val="0"/>
                <w:sz w:val="18"/>
                <w:szCs w:val="18"/>
              </w:rPr>
            </w:pPr>
            <w:r>
              <w:rPr>
                <w:kern w:val="0"/>
                <w:sz w:val="18"/>
                <w:szCs w:val="18"/>
              </w:rPr>
              <w:t>对于铜绕组变压器，应满足以下要求：</w:t>
            </w:r>
          </w:p>
          <w:p w14:paraId="6D6A0278">
            <w:pPr>
              <w:widowControl/>
              <w:spacing w:line="276" w:lineRule="auto"/>
              <w:jc w:val="left"/>
              <w:rPr>
                <w:kern w:val="0"/>
                <w:sz w:val="18"/>
                <w:szCs w:val="18"/>
              </w:rPr>
            </w:pPr>
            <w:r>
              <w:rPr>
                <w:kern w:val="0"/>
                <w:sz w:val="18"/>
                <w:szCs w:val="18"/>
              </w:rPr>
              <w:t>1）变压器高压侧和低压侧引线的接线端子，应用铜材制成，其接触表面应洁净，不得有裂纹、明显伤痕、毛刺，腐蚀斑痕缺陷及其他影响电接触和机械强度的缺陷，且应有防松措施。其余应符合GB 5273的规定。</w:t>
            </w:r>
          </w:p>
          <w:p w14:paraId="16EDA2EB">
            <w:pPr>
              <w:widowControl/>
              <w:spacing w:line="276" w:lineRule="auto"/>
              <w:jc w:val="left"/>
              <w:rPr>
                <w:kern w:val="0"/>
                <w:sz w:val="18"/>
                <w:szCs w:val="18"/>
              </w:rPr>
            </w:pPr>
            <w:r>
              <w:rPr>
                <w:kern w:val="0"/>
                <w:sz w:val="18"/>
                <w:szCs w:val="18"/>
              </w:rPr>
              <w:t>2) 对于容量在</w:t>
            </w:r>
            <w:r>
              <w:rPr>
                <w:rFonts w:hint="eastAsia"/>
                <w:kern w:val="0"/>
                <w:sz w:val="18"/>
                <w:szCs w:val="18"/>
              </w:rPr>
              <w:t>160</w:t>
            </w:r>
            <w:r>
              <w:rPr>
                <w:kern w:val="0"/>
                <w:sz w:val="18"/>
                <w:szCs w:val="18"/>
              </w:rPr>
              <w:t>kVA及以上的配电变压器，其接线端子应采用铜排制作。</w:t>
            </w:r>
          </w:p>
          <w:p w14:paraId="358FC572">
            <w:pPr>
              <w:widowControl/>
              <w:spacing w:line="276" w:lineRule="auto"/>
              <w:jc w:val="left"/>
              <w:rPr>
                <w:kern w:val="0"/>
                <w:sz w:val="18"/>
                <w:szCs w:val="18"/>
              </w:rPr>
            </w:pPr>
            <w:r>
              <w:rPr>
                <w:kern w:val="0"/>
                <w:sz w:val="18"/>
                <w:szCs w:val="18"/>
              </w:rPr>
              <w:t>对于铝绕组变压器，应满足以下要求：</w:t>
            </w:r>
          </w:p>
          <w:p w14:paraId="67968978">
            <w:pPr>
              <w:widowControl/>
              <w:spacing w:line="276" w:lineRule="auto"/>
              <w:jc w:val="left"/>
              <w:rPr>
                <w:kern w:val="0"/>
                <w:sz w:val="18"/>
                <w:szCs w:val="18"/>
              </w:rPr>
            </w:pPr>
            <w:r>
              <w:rPr>
                <w:kern w:val="0"/>
                <w:sz w:val="18"/>
                <w:szCs w:val="18"/>
              </w:rPr>
              <w:t>1）铜、铝导体应采用可靠的铜铝过渡结构进行有效连接，不能简单的用螺栓直接连接。</w:t>
            </w:r>
          </w:p>
          <w:p w14:paraId="15249F62">
            <w:pPr>
              <w:widowControl/>
              <w:spacing w:line="276" w:lineRule="auto"/>
              <w:jc w:val="left"/>
              <w:rPr>
                <w:kern w:val="0"/>
                <w:sz w:val="18"/>
                <w:szCs w:val="18"/>
              </w:rPr>
            </w:pPr>
            <w:r>
              <w:rPr>
                <w:kern w:val="0"/>
                <w:sz w:val="18"/>
                <w:szCs w:val="18"/>
              </w:rPr>
              <w:t>2）变压器绕组的外部电气连接处均应采用铜导体，其铜铝接头的焊缝应完整、光滑，无气孔和裂纹。</w:t>
            </w:r>
          </w:p>
          <w:p w14:paraId="39031D76">
            <w:pPr>
              <w:widowControl/>
              <w:spacing w:line="276" w:lineRule="auto"/>
              <w:jc w:val="left"/>
              <w:rPr>
                <w:kern w:val="0"/>
                <w:sz w:val="18"/>
                <w:szCs w:val="18"/>
              </w:rPr>
            </w:pPr>
            <w:r>
              <w:rPr>
                <w:kern w:val="0"/>
                <w:sz w:val="18"/>
                <w:szCs w:val="18"/>
              </w:rPr>
              <w:t>3）采用闪光焊、摩擦焊、冷压焊工艺的铜、铝过渡接头，其截面积不应小于铝导体本身的截面积；采用钎焊工艺的铜、铝过渡接头，其截面积应大于铝导体本身的截面积。</w:t>
            </w:r>
          </w:p>
          <w:p w14:paraId="478E0DCF">
            <w:pPr>
              <w:widowControl/>
              <w:spacing w:line="276" w:lineRule="auto"/>
              <w:jc w:val="left"/>
              <w:rPr>
                <w:kern w:val="0"/>
                <w:sz w:val="18"/>
                <w:szCs w:val="18"/>
              </w:rPr>
            </w:pPr>
            <w:r>
              <w:rPr>
                <w:kern w:val="0"/>
                <w:sz w:val="18"/>
                <w:szCs w:val="18"/>
              </w:rPr>
              <w:t>油箱的壳体颜色应采用浅灰色（RAL7035），有特殊要求的除外。</w:t>
            </w:r>
          </w:p>
        </w:tc>
        <w:tc>
          <w:tcPr>
            <w:tcW w:w="1862" w:type="dxa"/>
            <w:vAlign w:val="center"/>
          </w:tcPr>
          <w:p w14:paraId="403092AC">
            <w:pPr>
              <w:widowControl/>
              <w:spacing w:line="276" w:lineRule="auto"/>
              <w:jc w:val="left"/>
              <w:rPr>
                <w:kern w:val="0"/>
                <w:sz w:val="18"/>
                <w:szCs w:val="18"/>
              </w:rPr>
            </w:pPr>
            <w:r>
              <w:rPr>
                <w:kern w:val="0"/>
                <w:sz w:val="18"/>
                <w:szCs w:val="18"/>
              </w:rPr>
              <w:t>GB/T1094.1-2013第8条</w:t>
            </w:r>
          </w:p>
        </w:tc>
        <w:tc>
          <w:tcPr>
            <w:tcW w:w="1365" w:type="dxa"/>
            <w:vAlign w:val="center"/>
          </w:tcPr>
          <w:p w14:paraId="2277B198">
            <w:pPr>
              <w:widowControl/>
              <w:spacing w:line="276" w:lineRule="auto"/>
              <w:jc w:val="center"/>
              <w:rPr>
                <w:kern w:val="0"/>
                <w:sz w:val="18"/>
                <w:szCs w:val="18"/>
              </w:rPr>
            </w:pPr>
            <w:r>
              <w:rPr>
                <w:sz w:val="18"/>
                <w:szCs w:val="18"/>
              </w:rPr>
              <w:t>C类</w:t>
            </w:r>
          </w:p>
        </w:tc>
      </w:tr>
      <w:tr w14:paraId="1216B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04" w:type="dxa"/>
            <w:shd w:val="clear" w:color="auto" w:fill="auto"/>
            <w:vAlign w:val="center"/>
          </w:tcPr>
          <w:p w14:paraId="3A23AE70">
            <w:pPr>
              <w:widowControl/>
              <w:spacing w:line="276" w:lineRule="auto"/>
              <w:jc w:val="center"/>
              <w:rPr>
                <w:kern w:val="0"/>
                <w:sz w:val="18"/>
                <w:szCs w:val="18"/>
              </w:rPr>
            </w:pPr>
            <w:r>
              <w:rPr>
                <w:kern w:val="0"/>
                <w:sz w:val="18"/>
                <w:szCs w:val="18"/>
              </w:rPr>
              <w:t>2</w:t>
            </w:r>
          </w:p>
        </w:tc>
        <w:tc>
          <w:tcPr>
            <w:tcW w:w="1190" w:type="dxa"/>
            <w:shd w:val="clear" w:color="auto" w:fill="auto"/>
            <w:vAlign w:val="center"/>
          </w:tcPr>
          <w:p w14:paraId="05E7CAE5">
            <w:pPr>
              <w:widowControl/>
              <w:spacing w:line="276" w:lineRule="auto"/>
              <w:jc w:val="center"/>
              <w:rPr>
                <w:kern w:val="0"/>
                <w:sz w:val="18"/>
                <w:szCs w:val="18"/>
              </w:rPr>
            </w:pPr>
            <w:r>
              <w:rPr>
                <w:kern w:val="0"/>
                <w:sz w:val="18"/>
                <w:szCs w:val="18"/>
              </w:rPr>
              <w:t>绝缘电阻测量</w:t>
            </w:r>
          </w:p>
        </w:tc>
        <w:tc>
          <w:tcPr>
            <w:tcW w:w="3401" w:type="dxa"/>
            <w:shd w:val="clear" w:color="auto" w:fill="auto"/>
            <w:vAlign w:val="center"/>
          </w:tcPr>
          <w:p w14:paraId="285F5C41">
            <w:pPr>
              <w:widowControl/>
              <w:spacing w:line="276" w:lineRule="auto"/>
              <w:jc w:val="left"/>
              <w:rPr>
                <w:kern w:val="0"/>
                <w:sz w:val="18"/>
                <w:szCs w:val="18"/>
              </w:rPr>
            </w:pPr>
            <w:r>
              <w:rPr>
                <w:bCs/>
                <w:kern w:val="0"/>
                <w:sz w:val="18"/>
                <w:szCs w:val="18"/>
              </w:rPr>
              <w:t>测量每一绕组对地及其他绕组间60s的绝缘电阻值。</w:t>
            </w:r>
          </w:p>
        </w:tc>
        <w:tc>
          <w:tcPr>
            <w:tcW w:w="1862" w:type="dxa"/>
            <w:vAlign w:val="center"/>
          </w:tcPr>
          <w:p w14:paraId="07E1E956">
            <w:pPr>
              <w:spacing w:line="276" w:lineRule="auto"/>
              <w:jc w:val="left"/>
              <w:rPr>
                <w:color w:val="FF0000"/>
                <w:kern w:val="0"/>
                <w:sz w:val="18"/>
                <w:szCs w:val="18"/>
              </w:rPr>
            </w:pPr>
            <w:r>
              <w:rPr>
                <w:kern w:val="0"/>
                <w:sz w:val="18"/>
                <w:szCs w:val="18"/>
              </w:rPr>
              <w:t>GB/T1094.1-2013</w:t>
            </w:r>
          </w:p>
        </w:tc>
        <w:tc>
          <w:tcPr>
            <w:tcW w:w="1365" w:type="dxa"/>
            <w:vAlign w:val="center"/>
          </w:tcPr>
          <w:p w14:paraId="00C148E9">
            <w:pPr>
              <w:widowControl/>
              <w:spacing w:line="276" w:lineRule="auto"/>
              <w:jc w:val="center"/>
              <w:rPr>
                <w:kern w:val="0"/>
                <w:sz w:val="18"/>
                <w:szCs w:val="18"/>
              </w:rPr>
            </w:pPr>
            <w:r>
              <w:rPr>
                <w:sz w:val="18"/>
                <w:szCs w:val="18"/>
              </w:rPr>
              <w:t>B类</w:t>
            </w:r>
          </w:p>
        </w:tc>
      </w:tr>
      <w:tr w14:paraId="18D97F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4" w:type="dxa"/>
            <w:shd w:val="clear" w:color="auto" w:fill="auto"/>
            <w:vAlign w:val="center"/>
          </w:tcPr>
          <w:p w14:paraId="0D54151B">
            <w:pPr>
              <w:widowControl/>
              <w:spacing w:line="276" w:lineRule="auto"/>
              <w:jc w:val="center"/>
              <w:rPr>
                <w:kern w:val="0"/>
                <w:sz w:val="18"/>
                <w:szCs w:val="18"/>
              </w:rPr>
            </w:pPr>
            <w:r>
              <w:rPr>
                <w:kern w:val="0"/>
                <w:sz w:val="18"/>
                <w:szCs w:val="18"/>
              </w:rPr>
              <w:t>3</w:t>
            </w:r>
          </w:p>
        </w:tc>
        <w:tc>
          <w:tcPr>
            <w:tcW w:w="1190" w:type="dxa"/>
            <w:shd w:val="clear" w:color="auto" w:fill="auto"/>
            <w:vAlign w:val="center"/>
          </w:tcPr>
          <w:p w14:paraId="6DBA5561">
            <w:pPr>
              <w:widowControl/>
              <w:spacing w:line="276" w:lineRule="auto"/>
              <w:jc w:val="center"/>
              <w:rPr>
                <w:kern w:val="0"/>
                <w:sz w:val="18"/>
                <w:szCs w:val="18"/>
              </w:rPr>
            </w:pPr>
            <w:r>
              <w:rPr>
                <w:kern w:val="0"/>
                <w:sz w:val="18"/>
                <w:szCs w:val="18"/>
              </w:rPr>
              <w:t>绕组直流电阻测量</w:t>
            </w:r>
          </w:p>
        </w:tc>
        <w:tc>
          <w:tcPr>
            <w:tcW w:w="3401" w:type="dxa"/>
            <w:shd w:val="clear" w:color="auto" w:fill="auto"/>
            <w:vAlign w:val="center"/>
          </w:tcPr>
          <w:p w14:paraId="206A6503">
            <w:pPr>
              <w:widowControl/>
              <w:spacing w:line="276" w:lineRule="auto"/>
              <w:jc w:val="left"/>
              <w:rPr>
                <w:kern w:val="0"/>
                <w:sz w:val="18"/>
                <w:szCs w:val="18"/>
              </w:rPr>
            </w:pPr>
            <w:r>
              <w:rPr>
                <w:sz w:val="18"/>
                <w:szCs w:val="18"/>
              </w:rPr>
              <w:t>测量所有绕组和全部分接位置时的绕组电阻，并将测量结果换算至同一温度下，要求三相电阻不平衡率满足以下要求：线电阻</w:t>
            </w:r>
            <w:r>
              <w:rPr>
                <w:rFonts w:hint="eastAsia" w:hAnsi="宋体"/>
                <w:sz w:val="18"/>
                <w:szCs w:val="18"/>
              </w:rPr>
              <w:t>≤2%</w:t>
            </w:r>
            <w:r>
              <w:rPr>
                <w:sz w:val="18"/>
                <w:szCs w:val="18"/>
              </w:rPr>
              <w:t>，相电阻</w:t>
            </w:r>
            <w:r>
              <w:rPr>
                <w:rFonts w:hint="eastAsia" w:hAnsi="宋体"/>
                <w:sz w:val="18"/>
                <w:szCs w:val="18"/>
              </w:rPr>
              <w:t>≤4%</w:t>
            </w:r>
            <w:r>
              <w:rPr>
                <w:sz w:val="18"/>
                <w:szCs w:val="18"/>
              </w:rPr>
              <w:t>。</w:t>
            </w:r>
          </w:p>
        </w:tc>
        <w:tc>
          <w:tcPr>
            <w:tcW w:w="1862" w:type="dxa"/>
            <w:vAlign w:val="center"/>
          </w:tcPr>
          <w:p w14:paraId="2CB1DC36">
            <w:pPr>
              <w:widowControl/>
              <w:spacing w:line="276" w:lineRule="auto"/>
              <w:jc w:val="left"/>
              <w:rPr>
                <w:kern w:val="0"/>
                <w:sz w:val="18"/>
                <w:szCs w:val="18"/>
              </w:rPr>
            </w:pPr>
            <w:r>
              <w:rPr>
                <w:kern w:val="0"/>
                <w:sz w:val="18"/>
                <w:szCs w:val="18"/>
              </w:rPr>
              <w:t>GB/T 6451-2015  第4.3.2条</w:t>
            </w:r>
          </w:p>
        </w:tc>
        <w:tc>
          <w:tcPr>
            <w:tcW w:w="1365" w:type="dxa"/>
            <w:vAlign w:val="center"/>
          </w:tcPr>
          <w:p w14:paraId="3E59DF54">
            <w:pPr>
              <w:widowControl/>
              <w:spacing w:line="276" w:lineRule="auto"/>
              <w:jc w:val="center"/>
              <w:rPr>
                <w:kern w:val="0"/>
                <w:sz w:val="18"/>
                <w:szCs w:val="18"/>
              </w:rPr>
            </w:pPr>
            <w:r>
              <w:rPr>
                <w:sz w:val="18"/>
                <w:szCs w:val="18"/>
              </w:rPr>
              <w:t>B类</w:t>
            </w:r>
          </w:p>
        </w:tc>
      </w:tr>
      <w:tr w14:paraId="6D2129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4" w:type="dxa"/>
            <w:shd w:val="clear" w:color="auto" w:fill="auto"/>
            <w:vAlign w:val="center"/>
          </w:tcPr>
          <w:p w14:paraId="6B0E2600">
            <w:pPr>
              <w:widowControl/>
              <w:spacing w:line="276" w:lineRule="auto"/>
              <w:jc w:val="center"/>
              <w:rPr>
                <w:kern w:val="0"/>
                <w:sz w:val="18"/>
                <w:szCs w:val="18"/>
              </w:rPr>
            </w:pPr>
            <w:r>
              <w:rPr>
                <w:kern w:val="0"/>
                <w:sz w:val="18"/>
                <w:szCs w:val="18"/>
              </w:rPr>
              <w:t>4</w:t>
            </w:r>
          </w:p>
        </w:tc>
        <w:tc>
          <w:tcPr>
            <w:tcW w:w="1190" w:type="dxa"/>
            <w:shd w:val="clear" w:color="auto" w:fill="auto"/>
            <w:vAlign w:val="center"/>
          </w:tcPr>
          <w:p w14:paraId="18D4CBF5">
            <w:pPr>
              <w:widowControl/>
              <w:spacing w:line="276" w:lineRule="auto"/>
              <w:jc w:val="center"/>
              <w:rPr>
                <w:kern w:val="0"/>
                <w:sz w:val="18"/>
                <w:szCs w:val="18"/>
              </w:rPr>
            </w:pPr>
            <w:r>
              <w:rPr>
                <w:kern w:val="0"/>
                <w:sz w:val="18"/>
                <w:szCs w:val="18"/>
              </w:rPr>
              <w:t>电压比测量和联结组标号检定</w:t>
            </w:r>
          </w:p>
        </w:tc>
        <w:tc>
          <w:tcPr>
            <w:tcW w:w="3401" w:type="dxa"/>
            <w:shd w:val="clear" w:color="auto" w:fill="auto"/>
            <w:vAlign w:val="center"/>
          </w:tcPr>
          <w:p w14:paraId="36A13685">
            <w:pPr>
              <w:spacing w:line="276" w:lineRule="auto"/>
              <w:ind w:firstLine="28" w:firstLineChars="16"/>
              <w:jc w:val="left"/>
              <w:rPr>
                <w:sz w:val="18"/>
                <w:szCs w:val="18"/>
              </w:rPr>
            </w:pPr>
            <w:r>
              <w:rPr>
                <w:sz w:val="18"/>
                <w:szCs w:val="18"/>
              </w:rPr>
              <w:t>应在所有分接位置进行电压比测量。变压器额定分接电压比允许偏差为±</w:t>
            </w:r>
            <w:r>
              <w:rPr>
                <w:rFonts w:hint="eastAsia" w:hAnsi="宋体"/>
                <w:sz w:val="18"/>
                <w:szCs w:val="18"/>
              </w:rPr>
              <w:t>0.5%</w:t>
            </w:r>
            <w:r>
              <w:rPr>
                <w:sz w:val="18"/>
                <w:szCs w:val="18"/>
              </w:rPr>
              <w:t>和实际阻抗百分数的</w:t>
            </w:r>
            <w:r>
              <w:rPr>
                <w:rFonts w:hint="eastAsia" w:hAnsi="宋体"/>
                <w:sz w:val="18"/>
                <w:szCs w:val="18"/>
              </w:rPr>
              <w:t>±1/10</w:t>
            </w:r>
            <w:r>
              <w:rPr>
                <w:sz w:val="18"/>
                <w:szCs w:val="18"/>
              </w:rPr>
              <w:t>的较低者；其他分接允许偏差为</w:t>
            </w:r>
            <w:r>
              <w:rPr>
                <w:rFonts w:hint="eastAsia" w:hAnsi="宋体"/>
                <w:sz w:val="18"/>
                <w:szCs w:val="18"/>
              </w:rPr>
              <w:t>±0.5%</w:t>
            </w:r>
            <w:r>
              <w:rPr>
                <w:sz w:val="18"/>
                <w:szCs w:val="18"/>
              </w:rPr>
              <w:t>；。</w:t>
            </w:r>
          </w:p>
          <w:p w14:paraId="61B54EDA">
            <w:pPr>
              <w:spacing w:line="276" w:lineRule="auto"/>
              <w:ind w:firstLine="28" w:firstLineChars="16"/>
              <w:jc w:val="left"/>
              <w:rPr>
                <w:sz w:val="18"/>
                <w:szCs w:val="18"/>
              </w:rPr>
            </w:pPr>
            <w:r>
              <w:rPr>
                <w:sz w:val="18"/>
                <w:szCs w:val="18"/>
              </w:rPr>
              <w:t>联结组别应正确，变压器的极性应为“减极性”</w:t>
            </w:r>
            <w:r>
              <w:rPr>
                <w:rFonts w:hint="eastAsia"/>
                <w:sz w:val="18"/>
                <w:szCs w:val="18"/>
              </w:rPr>
              <w:t>（仅适用于单相变压器）</w:t>
            </w:r>
            <w:r>
              <w:rPr>
                <w:sz w:val="18"/>
                <w:szCs w:val="18"/>
              </w:rPr>
              <w:t>。</w:t>
            </w:r>
          </w:p>
        </w:tc>
        <w:tc>
          <w:tcPr>
            <w:tcW w:w="1862" w:type="dxa"/>
            <w:vAlign w:val="center"/>
          </w:tcPr>
          <w:p w14:paraId="01FAA64A">
            <w:pPr>
              <w:widowControl/>
              <w:spacing w:line="276" w:lineRule="auto"/>
              <w:jc w:val="left"/>
              <w:rPr>
                <w:kern w:val="0"/>
                <w:sz w:val="18"/>
                <w:szCs w:val="18"/>
              </w:rPr>
            </w:pPr>
            <w:r>
              <w:rPr>
                <w:kern w:val="0"/>
                <w:sz w:val="18"/>
                <w:szCs w:val="18"/>
              </w:rPr>
              <w:t>GB/T1094.1-2013  表1</w:t>
            </w:r>
          </w:p>
        </w:tc>
        <w:tc>
          <w:tcPr>
            <w:tcW w:w="1365" w:type="dxa"/>
            <w:vAlign w:val="center"/>
          </w:tcPr>
          <w:p w14:paraId="07CA0B53">
            <w:pPr>
              <w:widowControl/>
              <w:spacing w:line="276" w:lineRule="auto"/>
              <w:jc w:val="center"/>
              <w:rPr>
                <w:kern w:val="0"/>
                <w:sz w:val="18"/>
                <w:szCs w:val="18"/>
              </w:rPr>
            </w:pPr>
            <w:r>
              <w:rPr>
                <w:sz w:val="18"/>
                <w:szCs w:val="18"/>
              </w:rPr>
              <w:t>C类</w:t>
            </w:r>
          </w:p>
        </w:tc>
      </w:tr>
      <w:tr w14:paraId="45AF89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704" w:type="dxa"/>
            <w:shd w:val="clear" w:color="auto" w:fill="auto"/>
            <w:vAlign w:val="center"/>
          </w:tcPr>
          <w:p w14:paraId="2C45B721">
            <w:pPr>
              <w:widowControl/>
              <w:spacing w:line="276" w:lineRule="auto"/>
              <w:jc w:val="center"/>
              <w:rPr>
                <w:kern w:val="0"/>
                <w:sz w:val="18"/>
                <w:szCs w:val="18"/>
              </w:rPr>
            </w:pPr>
            <w:r>
              <w:rPr>
                <w:kern w:val="0"/>
                <w:sz w:val="18"/>
                <w:szCs w:val="18"/>
              </w:rPr>
              <w:t>5</w:t>
            </w:r>
          </w:p>
        </w:tc>
        <w:tc>
          <w:tcPr>
            <w:tcW w:w="1190" w:type="dxa"/>
            <w:shd w:val="clear" w:color="auto" w:fill="auto"/>
            <w:vAlign w:val="center"/>
          </w:tcPr>
          <w:p w14:paraId="098F2E8E">
            <w:pPr>
              <w:widowControl/>
              <w:spacing w:line="276" w:lineRule="auto"/>
              <w:jc w:val="center"/>
              <w:rPr>
                <w:kern w:val="0"/>
                <w:sz w:val="18"/>
                <w:szCs w:val="18"/>
              </w:rPr>
            </w:pPr>
            <w:r>
              <w:rPr>
                <w:kern w:val="0"/>
                <w:sz w:val="18"/>
                <w:szCs w:val="18"/>
              </w:rPr>
              <w:t>外施耐压试验</w:t>
            </w:r>
          </w:p>
        </w:tc>
        <w:tc>
          <w:tcPr>
            <w:tcW w:w="3401" w:type="dxa"/>
            <w:shd w:val="clear" w:color="auto" w:fill="auto"/>
            <w:vAlign w:val="center"/>
          </w:tcPr>
          <w:p w14:paraId="54F9AE97">
            <w:pPr>
              <w:widowControl/>
              <w:spacing w:line="276" w:lineRule="auto"/>
              <w:jc w:val="left"/>
              <w:rPr>
                <w:kern w:val="0"/>
                <w:sz w:val="18"/>
                <w:szCs w:val="18"/>
              </w:rPr>
            </w:pPr>
            <w:r>
              <w:rPr>
                <w:sz w:val="18"/>
                <w:szCs w:val="18"/>
              </w:rPr>
              <w:t>高压绕组对低压绕组及地，试验电压35kV，60s；低压绕组对高压绕组及地，试验电压5kV，60s。耐压过程中变压器无异常声响，电压无突然下降。</w:t>
            </w:r>
          </w:p>
        </w:tc>
        <w:tc>
          <w:tcPr>
            <w:tcW w:w="1862" w:type="dxa"/>
            <w:vAlign w:val="center"/>
          </w:tcPr>
          <w:p w14:paraId="09ABA8C1">
            <w:pPr>
              <w:spacing w:line="276" w:lineRule="auto"/>
              <w:jc w:val="left"/>
              <w:rPr>
                <w:kern w:val="0"/>
                <w:sz w:val="18"/>
                <w:szCs w:val="18"/>
              </w:rPr>
            </w:pPr>
            <w:r>
              <w:rPr>
                <w:kern w:val="0"/>
                <w:sz w:val="18"/>
                <w:szCs w:val="18"/>
              </w:rPr>
              <w:t xml:space="preserve">GB </w:t>
            </w:r>
            <w:r>
              <w:rPr>
                <w:rFonts w:hint="eastAsia"/>
                <w:kern w:val="0"/>
                <w:sz w:val="18"/>
                <w:szCs w:val="18"/>
              </w:rPr>
              <w:t>/T</w:t>
            </w:r>
            <w:r>
              <w:rPr>
                <w:kern w:val="0"/>
                <w:sz w:val="18"/>
                <w:szCs w:val="18"/>
              </w:rPr>
              <w:t>1094.3-20</w:t>
            </w:r>
            <w:r>
              <w:rPr>
                <w:rFonts w:hint="eastAsia"/>
                <w:kern w:val="0"/>
                <w:sz w:val="18"/>
                <w:szCs w:val="18"/>
              </w:rPr>
              <w:t>17</w:t>
            </w:r>
            <w:r>
              <w:rPr>
                <w:kern w:val="0"/>
                <w:sz w:val="18"/>
                <w:szCs w:val="18"/>
              </w:rPr>
              <w:t>第1</w:t>
            </w:r>
            <w:r>
              <w:rPr>
                <w:rFonts w:hint="eastAsia"/>
                <w:kern w:val="0"/>
                <w:sz w:val="18"/>
                <w:szCs w:val="18"/>
              </w:rPr>
              <w:t>0</w:t>
            </w:r>
            <w:r>
              <w:rPr>
                <w:kern w:val="0"/>
                <w:sz w:val="18"/>
                <w:szCs w:val="18"/>
              </w:rPr>
              <w:t>条；</w:t>
            </w:r>
          </w:p>
          <w:p w14:paraId="1975BC0C">
            <w:pPr>
              <w:spacing w:line="276" w:lineRule="auto"/>
              <w:jc w:val="left"/>
              <w:rPr>
                <w:kern w:val="0"/>
                <w:sz w:val="18"/>
                <w:szCs w:val="18"/>
              </w:rPr>
            </w:pPr>
          </w:p>
        </w:tc>
        <w:tc>
          <w:tcPr>
            <w:tcW w:w="1365" w:type="dxa"/>
            <w:vAlign w:val="center"/>
          </w:tcPr>
          <w:p w14:paraId="54BBDA38">
            <w:pPr>
              <w:widowControl/>
              <w:spacing w:line="276" w:lineRule="auto"/>
              <w:jc w:val="center"/>
              <w:rPr>
                <w:kern w:val="0"/>
                <w:sz w:val="18"/>
                <w:szCs w:val="18"/>
              </w:rPr>
            </w:pPr>
            <w:r>
              <w:rPr>
                <w:sz w:val="18"/>
                <w:szCs w:val="18"/>
              </w:rPr>
              <w:t>A类</w:t>
            </w:r>
          </w:p>
        </w:tc>
      </w:tr>
      <w:tr w14:paraId="16FBC8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4" w:type="dxa"/>
            <w:shd w:val="clear" w:color="auto" w:fill="auto"/>
            <w:vAlign w:val="center"/>
          </w:tcPr>
          <w:p w14:paraId="7A3E00E7">
            <w:pPr>
              <w:widowControl/>
              <w:spacing w:line="276" w:lineRule="auto"/>
              <w:jc w:val="center"/>
              <w:rPr>
                <w:kern w:val="0"/>
                <w:sz w:val="18"/>
                <w:szCs w:val="18"/>
              </w:rPr>
            </w:pPr>
            <w:r>
              <w:rPr>
                <w:kern w:val="0"/>
                <w:sz w:val="18"/>
                <w:szCs w:val="18"/>
              </w:rPr>
              <w:t>6</w:t>
            </w:r>
          </w:p>
        </w:tc>
        <w:tc>
          <w:tcPr>
            <w:tcW w:w="1190" w:type="dxa"/>
            <w:shd w:val="clear" w:color="auto" w:fill="auto"/>
            <w:vAlign w:val="center"/>
          </w:tcPr>
          <w:p w14:paraId="37B58DB6">
            <w:pPr>
              <w:widowControl/>
              <w:spacing w:line="276" w:lineRule="auto"/>
              <w:jc w:val="center"/>
              <w:rPr>
                <w:kern w:val="0"/>
                <w:sz w:val="18"/>
                <w:szCs w:val="18"/>
              </w:rPr>
            </w:pPr>
            <w:r>
              <w:rPr>
                <w:kern w:val="0"/>
                <w:sz w:val="18"/>
                <w:szCs w:val="18"/>
              </w:rPr>
              <w:t>空载电流和空载损耗测量</w:t>
            </w:r>
          </w:p>
        </w:tc>
        <w:tc>
          <w:tcPr>
            <w:tcW w:w="3401" w:type="dxa"/>
            <w:shd w:val="clear" w:color="auto" w:fill="auto"/>
            <w:vAlign w:val="center"/>
          </w:tcPr>
          <w:p w14:paraId="4B0A5941">
            <w:pPr>
              <w:spacing w:line="276" w:lineRule="auto"/>
              <w:jc w:val="left"/>
              <w:rPr>
                <w:sz w:val="18"/>
                <w:szCs w:val="18"/>
              </w:rPr>
            </w:pPr>
            <w:r>
              <w:rPr>
                <w:sz w:val="18"/>
                <w:szCs w:val="18"/>
              </w:rPr>
              <w:t>试验应在变压器的低压绕组施加额定电压，高压绕组开路，且变压器处于额定分接位置。所有绝缘试验完成后，在额定电压下的损耗测量值，以最后一次测定的空载损耗值作为实际测量值。</w:t>
            </w:r>
          </w:p>
          <w:p w14:paraId="670F0028">
            <w:pPr>
              <w:spacing w:line="276" w:lineRule="auto"/>
              <w:jc w:val="left"/>
              <w:rPr>
                <w:sz w:val="18"/>
                <w:szCs w:val="18"/>
              </w:rPr>
            </w:pPr>
            <w:r>
              <w:rPr>
                <w:sz w:val="18"/>
                <w:szCs w:val="18"/>
              </w:rPr>
              <w:t>所用电流电压互感器的精度不应低于0.2级，所用仪表精度不低于0.5级，功率测量应采用小于0.2</w:t>
            </w:r>
            <w:r>
              <w:rPr>
                <w:rFonts w:hint="eastAsia"/>
                <w:sz w:val="18"/>
                <w:szCs w:val="18"/>
              </w:rPr>
              <w:t>级</w:t>
            </w:r>
            <w:r>
              <w:rPr>
                <w:sz w:val="18"/>
                <w:szCs w:val="18"/>
              </w:rPr>
              <w:t>功率因素的功率表。</w:t>
            </w:r>
          </w:p>
          <w:p w14:paraId="4585EDCD">
            <w:pPr>
              <w:spacing w:line="276" w:lineRule="auto"/>
              <w:jc w:val="left"/>
              <w:rPr>
                <w:kern w:val="0"/>
                <w:sz w:val="18"/>
                <w:szCs w:val="18"/>
              </w:rPr>
            </w:pPr>
            <w:r>
              <w:rPr>
                <w:sz w:val="18"/>
                <w:szCs w:val="18"/>
              </w:rPr>
              <w:t>电压频率为额定频率，允许偏差为≤</w:t>
            </w:r>
            <w:r>
              <w:rPr>
                <w:rFonts w:hint="eastAsia" w:hAnsi="宋体"/>
                <w:sz w:val="18"/>
                <w:szCs w:val="18"/>
              </w:rPr>
              <w:t>±5%</w:t>
            </w:r>
            <w:r>
              <w:rPr>
                <w:sz w:val="18"/>
                <w:szCs w:val="18"/>
              </w:rPr>
              <w:t>，波形满足有效值电压表与平均值电压表读数差≤</w:t>
            </w:r>
            <w:r>
              <w:rPr>
                <w:rFonts w:hint="eastAsia" w:hAnsi="宋体"/>
                <w:sz w:val="18"/>
                <w:szCs w:val="18"/>
              </w:rPr>
              <w:t>±3%</w:t>
            </w:r>
            <w:r>
              <w:rPr>
                <w:sz w:val="18"/>
                <w:szCs w:val="18"/>
              </w:rPr>
              <w:t>。试验电压为平均值电压，试验电压及频率不满足要求时需要将测量结果换算到额定电压及额定频率。所测得空载损耗和空载电流值应满足</w:t>
            </w:r>
            <w:r>
              <w:rPr>
                <w:kern w:val="0"/>
                <w:sz w:val="18"/>
                <w:szCs w:val="18"/>
              </w:rPr>
              <w:t>招投标技术文件</w:t>
            </w:r>
            <w:r>
              <w:rPr>
                <w:sz w:val="18"/>
                <w:szCs w:val="18"/>
              </w:rPr>
              <w:t>的技术参数表的要求。</w:t>
            </w:r>
          </w:p>
        </w:tc>
        <w:tc>
          <w:tcPr>
            <w:tcW w:w="1862" w:type="dxa"/>
            <w:vAlign w:val="center"/>
          </w:tcPr>
          <w:p w14:paraId="3E00A132">
            <w:pPr>
              <w:widowControl/>
              <w:spacing w:line="276" w:lineRule="auto"/>
              <w:jc w:val="left"/>
              <w:rPr>
                <w:kern w:val="0"/>
                <w:sz w:val="18"/>
                <w:szCs w:val="18"/>
              </w:rPr>
            </w:pPr>
            <w:r>
              <w:rPr>
                <w:kern w:val="0"/>
                <w:sz w:val="18"/>
                <w:szCs w:val="18"/>
              </w:rPr>
              <w:t>GB/T1094.1-2013第10、11条；</w:t>
            </w:r>
          </w:p>
          <w:p w14:paraId="3C634773">
            <w:pPr>
              <w:widowControl/>
              <w:spacing w:line="276" w:lineRule="auto"/>
              <w:jc w:val="left"/>
              <w:rPr>
                <w:kern w:val="0"/>
                <w:sz w:val="18"/>
                <w:szCs w:val="18"/>
              </w:rPr>
            </w:pPr>
          </w:p>
        </w:tc>
        <w:tc>
          <w:tcPr>
            <w:tcW w:w="1365" w:type="dxa"/>
            <w:vAlign w:val="center"/>
          </w:tcPr>
          <w:p w14:paraId="47B8C8CA">
            <w:pPr>
              <w:widowControl/>
              <w:spacing w:line="276" w:lineRule="auto"/>
              <w:jc w:val="center"/>
              <w:rPr>
                <w:kern w:val="0"/>
                <w:sz w:val="18"/>
                <w:szCs w:val="18"/>
              </w:rPr>
            </w:pPr>
            <w:r>
              <w:rPr>
                <w:sz w:val="18"/>
                <w:szCs w:val="18"/>
              </w:rPr>
              <w:t>B类</w:t>
            </w:r>
          </w:p>
        </w:tc>
      </w:tr>
      <w:tr w14:paraId="62B4D5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4" w:type="dxa"/>
            <w:shd w:val="clear" w:color="auto" w:fill="auto"/>
            <w:vAlign w:val="center"/>
          </w:tcPr>
          <w:p w14:paraId="543C05B2">
            <w:pPr>
              <w:widowControl/>
              <w:spacing w:line="276" w:lineRule="auto"/>
              <w:jc w:val="center"/>
              <w:rPr>
                <w:kern w:val="0"/>
                <w:sz w:val="18"/>
                <w:szCs w:val="18"/>
              </w:rPr>
            </w:pPr>
            <w:r>
              <w:rPr>
                <w:kern w:val="0"/>
                <w:sz w:val="18"/>
                <w:szCs w:val="18"/>
              </w:rPr>
              <w:t>7</w:t>
            </w:r>
          </w:p>
        </w:tc>
        <w:tc>
          <w:tcPr>
            <w:tcW w:w="1190" w:type="dxa"/>
            <w:shd w:val="clear" w:color="auto" w:fill="auto"/>
            <w:vAlign w:val="center"/>
          </w:tcPr>
          <w:p w14:paraId="1DB36E35">
            <w:pPr>
              <w:widowControl/>
              <w:spacing w:line="276" w:lineRule="auto"/>
              <w:jc w:val="center"/>
              <w:rPr>
                <w:kern w:val="0"/>
                <w:sz w:val="18"/>
                <w:szCs w:val="18"/>
              </w:rPr>
            </w:pPr>
            <w:r>
              <w:rPr>
                <w:kern w:val="0"/>
                <w:sz w:val="18"/>
                <w:szCs w:val="18"/>
              </w:rPr>
              <w:t>短路阻抗和负载损耗测量</w:t>
            </w:r>
          </w:p>
        </w:tc>
        <w:tc>
          <w:tcPr>
            <w:tcW w:w="3401" w:type="dxa"/>
            <w:shd w:val="clear" w:color="auto" w:fill="auto"/>
            <w:vAlign w:val="center"/>
          </w:tcPr>
          <w:p w14:paraId="0797BA5A">
            <w:pPr>
              <w:spacing w:line="276" w:lineRule="auto"/>
              <w:jc w:val="left"/>
              <w:rPr>
                <w:sz w:val="18"/>
                <w:szCs w:val="18"/>
              </w:rPr>
            </w:pPr>
            <w:r>
              <w:rPr>
                <w:sz w:val="18"/>
                <w:szCs w:val="18"/>
              </w:rPr>
              <w:t>试验应在变压器高压绕组施加额定频率，且近似正弦的电流，低压绕组短路，且变压器处于额定分接位置。测量应在50%～100%额定电流下进行，为避免绕组发热对试验结果产生明显误差，试验测量应迅速进行，同时准确记录绕组温度。</w:t>
            </w:r>
          </w:p>
          <w:p w14:paraId="62D4D307">
            <w:pPr>
              <w:spacing w:line="276" w:lineRule="auto"/>
              <w:jc w:val="left"/>
              <w:rPr>
                <w:sz w:val="18"/>
                <w:szCs w:val="18"/>
              </w:rPr>
            </w:pPr>
            <w:r>
              <w:rPr>
                <w:sz w:val="18"/>
                <w:szCs w:val="18"/>
              </w:rPr>
              <w:t>电源频率为50Hz，允许偏差≤</w:t>
            </w:r>
            <w:r>
              <w:rPr>
                <w:rFonts w:hint="eastAsia" w:hAnsi="宋体"/>
                <w:sz w:val="18"/>
                <w:szCs w:val="18"/>
              </w:rPr>
              <w:t>±5%</w:t>
            </w:r>
            <w:r>
              <w:rPr>
                <w:sz w:val="18"/>
                <w:szCs w:val="18"/>
              </w:rPr>
              <w:t>。将测量结果换算至额定频率和额定电流及参考温度</w:t>
            </w:r>
            <w:r>
              <w:rPr>
                <w:rFonts w:hint="eastAsia" w:hAnsi="宋体"/>
                <w:sz w:val="18"/>
                <w:szCs w:val="18"/>
              </w:rPr>
              <w:t>75℃</w:t>
            </w:r>
            <w:r>
              <w:rPr>
                <w:sz w:val="18"/>
                <w:szCs w:val="18"/>
              </w:rPr>
              <w:t>，所得结果应满足</w:t>
            </w:r>
            <w:r>
              <w:rPr>
                <w:kern w:val="0"/>
                <w:sz w:val="18"/>
                <w:szCs w:val="18"/>
              </w:rPr>
              <w:t>招投标技术文件</w:t>
            </w:r>
            <w:r>
              <w:rPr>
                <w:sz w:val="18"/>
                <w:szCs w:val="18"/>
              </w:rPr>
              <w:t>的技术参数表的要求。</w:t>
            </w:r>
          </w:p>
        </w:tc>
        <w:tc>
          <w:tcPr>
            <w:tcW w:w="1862" w:type="dxa"/>
            <w:vAlign w:val="center"/>
          </w:tcPr>
          <w:p w14:paraId="19B0A690">
            <w:pPr>
              <w:widowControl/>
              <w:spacing w:line="276" w:lineRule="auto"/>
              <w:jc w:val="left"/>
              <w:rPr>
                <w:kern w:val="0"/>
                <w:sz w:val="18"/>
                <w:szCs w:val="18"/>
              </w:rPr>
            </w:pPr>
            <w:r>
              <w:rPr>
                <w:kern w:val="0"/>
                <w:sz w:val="18"/>
                <w:szCs w:val="18"/>
              </w:rPr>
              <w:t>GB/T1094.1-2013第10、11条；</w:t>
            </w:r>
          </w:p>
          <w:p w14:paraId="7C5DE414">
            <w:pPr>
              <w:widowControl/>
              <w:spacing w:line="276" w:lineRule="auto"/>
              <w:jc w:val="left"/>
              <w:rPr>
                <w:kern w:val="0"/>
                <w:sz w:val="18"/>
                <w:szCs w:val="18"/>
              </w:rPr>
            </w:pPr>
          </w:p>
        </w:tc>
        <w:tc>
          <w:tcPr>
            <w:tcW w:w="1365" w:type="dxa"/>
            <w:vAlign w:val="center"/>
          </w:tcPr>
          <w:p w14:paraId="3903D2A5">
            <w:pPr>
              <w:widowControl/>
              <w:spacing w:line="276" w:lineRule="auto"/>
              <w:jc w:val="center"/>
              <w:rPr>
                <w:kern w:val="0"/>
                <w:sz w:val="18"/>
                <w:szCs w:val="18"/>
              </w:rPr>
            </w:pPr>
            <w:r>
              <w:rPr>
                <w:sz w:val="18"/>
                <w:szCs w:val="18"/>
              </w:rPr>
              <w:t>B类</w:t>
            </w:r>
          </w:p>
        </w:tc>
      </w:tr>
      <w:tr w14:paraId="6FD620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4" w:type="dxa"/>
            <w:shd w:val="clear" w:color="auto" w:fill="auto"/>
            <w:vAlign w:val="center"/>
          </w:tcPr>
          <w:p w14:paraId="4E76A14B">
            <w:pPr>
              <w:widowControl/>
              <w:spacing w:line="276" w:lineRule="auto"/>
              <w:jc w:val="center"/>
              <w:rPr>
                <w:kern w:val="0"/>
                <w:sz w:val="18"/>
                <w:szCs w:val="18"/>
              </w:rPr>
            </w:pPr>
            <w:r>
              <w:rPr>
                <w:kern w:val="0"/>
                <w:sz w:val="18"/>
                <w:szCs w:val="18"/>
              </w:rPr>
              <w:t>8</w:t>
            </w:r>
          </w:p>
        </w:tc>
        <w:tc>
          <w:tcPr>
            <w:tcW w:w="1190" w:type="dxa"/>
            <w:shd w:val="clear" w:color="auto" w:fill="auto"/>
            <w:vAlign w:val="center"/>
          </w:tcPr>
          <w:p w14:paraId="3816AAB7">
            <w:pPr>
              <w:widowControl/>
              <w:spacing w:line="276" w:lineRule="auto"/>
              <w:jc w:val="center"/>
              <w:rPr>
                <w:kern w:val="0"/>
                <w:sz w:val="18"/>
                <w:szCs w:val="18"/>
              </w:rPr>
            </w:pPr>
            <w:r>
              <w:rPr>
                <w:kern w:val="0"/>
                <w:sz w:val="18"/>
                <w:szCs w:val="18"/>
              </w:rPr>
              <w:t>感应电压试验（可选，于供应商工厂试验时为必选）</w:t>
            </w:r>
          </w:p>
        </w:tc>
        <w:tc>
          <w:tcPr>
            <w:tcW w:w="3401" w:type="dxa"/>
            <w:shd w:val="clear" w:color="auto" w:fill="auto"/>
            <w:vAlign w:val="center"/>
          </w:tcPr>
          <w:p w14:paraId="589FFA9B">
            <w:pPr>
              <w:widowControl/>
              <w:autoSpaceDE w:val="0"/>
              <w:autoSpaceDN w:val="0"/>
              <w:spacing w:line="276" w:lineRule="auto"/>
              <w:rPr>
                <w:b/>
                <w:bCs/>
                <w:kern w:val="0"/>
                <w:sz w:val="32"/>
                <w:szCs w:val="32"/>
              </w:rPr>
            </w:pPr>
            <w:r>
              <w:rPr>
                <w:kern w:val="0"/>
                <w:sz w:val="18"/>
              </w:rPr>
              <w:t>试验电压为2U</w:t>
            </w:r>
            <w:r>
              <w:rPr>
                <w:kern w:val="0"/>
                <w:sz w:val="18"/>
                <w:vertAlign w:val="subscript"/>
              </w:rPr>
              <w:t>N</w:t>
            </w:r>
            <w:r>
              <w:rPr>
                <w:kern w:val="0"/>
                <w:sz w:val="18"/>
              </w:rPr>
              <w:t>，当试验频率等于或小于两倍额定频率时，试验时间为60s。试验频率大于两倍额定频率时，试验时间为（120*额定频率/试验频率）s。在耐压过程中未出现试验电压突然下降的情况。</w:t>
            </w:r>
          </w:p>
        </w:tc>
        <w:tc>
          <w:tcPr>
            <w:tcW w:w="1862" w:type="dxa"/>
            <w:vAlign w:val="center"/>
          </w:tcPr>
          <w:p w14:paraId="0C5DFB22">
            <w:pPr>
              <w:widowControl/>
              <w:spacing w:line="276" w:lineRule="auto"/>
              <w:jc w:val="left"/>
              <w:rPr>
                <w:kern w:val="0"/>
                <w:sz w:val="18"/>
                <w:szCs w:val="18"/>
              </w:rPr>
            </w:pPr>
            <w:r>
              <w:rPr>
                <w:kern w:val="0"/>
                <w:sz w:val="18"/>
                <w:szCs w:val="18"/>
              </w:rPr>
              <w:t>GB</w:t>
            </w:r>
            <w:r>
              <w:rPr>
                <w:rFonts w:hint="eastAsia"/>
                <w:kern w:val="0"/>
                <w:sz w:val="18"/>
                <w:szCs w:val="18"/>
              </w:rPr>
              <w:t>/T</w:t>
            </w:r>
            <w:r>
              <w:rPr>
                <w:kern w:val="0"/>
                <w:sz w:val="18"/>
                <w:szCs w:val="18"/>
              </w:rPr>
              <w:t xml:space="preserve"> 1094.3-20</w:t>
            </w:r>
            <w:r>
              <w:rPr>
                <w:rFonts w:hint="eastAsia"/>
                <w:kern w:val="0"/>
                <w:sz w:val="18"/>
                <w:szCs w:val="18"/>
              </w:rPr>
              <w:t>17</w:t>
            </w:r>
            <w:r>
              <w:rPr>
                <w:kern w:val="0"/>
                <w:sz w:val="18"/>
                <w:szCs w:val="18"/>
              </w:rPr>
              <w:t>第1</w:t>
            </w:r>
            <w:r>
              <w:rPr>
                <w:rFonts w:hint="eastAsia"/>
                <w:kern w:val="0"/>
                <w:sz w:val="18"/>
                <w:szCs w:val="18"/>
              </w:rPr>
              <w:t>1</w:t>
            </w:r>
            <w:r>
              <w:rPr>
                <w:kern w:val="0"/>
                <w:sz w:val="18"/>
                <w:szCs w:val="18"/>
              </w:rPr>
              <w:t>条</w:t>
            </w:r>
          </w:p>
        </w:tc>
        <w:tc>
          <w:tcPr>
            <w:tcW w:w="1365" w:type="dxa"/>
            <w:vAlign w:val="center"/>
          </w:tcPr>
          <w:p w14:paraId="0C77ED45">
            <w:pPr>
              <w:widowControl/>
              <w:spacing w:line="276" w:lineRule="auto"/>
              <w:jc w:val="center"/>
              <w:rPr>
                <w:kern w:val="0"/>
                <w:sz w:val="18"/>
                <w:szCs w:val="18"/>
              </w:rPr>
            </w:pPr>
            <w:r>
              <w:rPr>
                <w:sz w:val="18"/>
                <w:szCs w:val="18"/>
              </w:rPr>
              <w:t>A类</w:t>
            </w:r>
          </w:p>
        </w:tc>
      </w:tr>
      <w:tr w14:paraId="6B82D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4" w:type="dxa"/>
            <w:shd w:val="clear" w:color="auto" w:fill="auto"/>
            <w:vAlign w:val="center"/>
          </w:tcPr>
          <w:p w14:paraId="049A231F">
            <w:pPr>
              <w:widowControl/>
              <w:spacing w:line="276" w:lineRule="auto"/>
              <w:jc w:val="center"/>
              <w:rPr>
                <w:kern w:val="0"/>
                <w:sz w:val="18"/>
                <w:szCs w:val="18"/>
              </w:rPr>
            </w:pPr>
            <w:r>
              <w:rPr>
                <w:kern w:val="0"/>
                <w:sz w:val="18"/>
                <w:szCs w:val="18"/>
              </w:rPr>
              <w:t>9</w:t>
            </w:r>
          </w:p>
        </w:tc>
        <w:tc>
          <w:tcPr>
            <w:tcW w:w="1190" w:type="dxa"/>
            <w:shd w:val="clear" w:color="auto" w:fill="auto"/>
            <w:vAlign w:val="center"/>
          </w:tcPr>
          <w:p w14:paraId="28420D0B">
            <w:pPr>
              <w:widowControl/>
              <w:spacing w:line="276" w:lineRule="auto"/>
              <w:jc w:val="center"/>
              <w:rPr>
                <w:sz w:val="18"/>
                <w:szCs w:val="18"/>
              </w:rPr>
            </w:pPr>
            <w:r>
              <w:rPr>
                <w:sz w:val="18"/>
                <w:szCs w:val="18"/>
              </w:rPr>
              <w:t>密封试验</w:t>
            </w:r>
            <w:r>
              <w:rPr>
                <w:kern w:val="0"/>
                <w:sz w:val="18"/>
                <w:szCs w:val="18"/>
              </w:rPr>
              <w:t>（可选，于供应商工厂试验时为必选）</w:t>
            </w:r>
          </w:p>
        </w:tc>
        <w:tc>
          <w:tcPr>
            <w:tcW w:w="3401" w:type="dxa"/>
            <w:shd w:val="clear" w:color="auto" w:fill="auto"/>
            <w:vAlign w:val="center"/>
          </w:tcPr>
          <w:p w14:paraId="08FB1BFE">
            <w:pPr>
              <w:spacing w:line="276" w:lineRule="auto"/>
              <w:jc w:val="left"/>
              <w:rPr>
                <w:sz w:val="18"/>
                <w:szCs w:val="18"/>
              </w:rPr>
            </w:pPr>
            <w:r>
              <w:rPr>
                <w:sz w:val="18"/>
                <w:szCs w:val="18"/>
              </w:rPr>
              <w:t>历时12h后剩余压力应无渗漏和损伤。具有要求如下：</w:t>
            </w:r>
          </w:p>
          <w:p w14:paraId="246D8D35">
            <w:pPr>
              <w:spacing w:line="276" w:lineRule="auto"/>
              <w:jc w:val="left"/>
              <w:rPr>
                <w:sz w:val="18"/>
                <w:szCs w:val="18"/>
              </w:rPr>
            </w:pPr>
            <w:r>
              <w:rPr>
                <w:sz w:val="18"/>
                <w:szCs w:val="18"/>
              </w:rPr>
              <w:t>1）一般结构油箱的变压器（包括储油柜带隔膜的密封式变压器）应承受40kPa的试验压力；</w:t>
            </w:r>
          </w:p>
          <w:p w14:paraId="19CEEAFF">
            <w:pPr>
              <w:spacing w:line="276" w:lineRule="auto"/>
              <w:jc w:val="left"/>
              <w:rPr>
                <w:sz w:val="18"/>
                <w:szCs w:val="18"/>
              </w:rPr>
            </w:pPr>
            <w:r>
              <w:rPr>
                <w:sz w:val="18"/>
                <w:szCs w:val="18"/>
              </w:rPr>
              <w:t>2）波纹式油箱（包括带有弹性片式散热器油箱）的变压器：315kVA及以下者应承受20kPa的试验压力；400kVA及以上者应承受15kPa的试验压力。</w:t>
            </w:r>
          </w:p>
        </w:tc>
        <w:tc>
          <w:tcPr>
            <w:tcW w:w="1862" w:type="dxa"/>
            <w:vAlign w:val="center"/>
          </w:tcPr>
          <w:p w14:paraId="3219E9B7">
            <w:pPr>
              <w:widowControl/>
              <w:spacing w:line="276" w:lineRule="auto"/>
              <w:jc w:val="center"/>
              <w:rPr>
                <w:sz w:val="18"/>
                <w:szCs w:val="18"/>
              </w:rPr>
            </w:pPr>
            <w:r>
              <w:rPr>
                <w:sz w:val="18"/>
                <w:szCs w:val="18"/>
              </w:rPr>
              <w:t>GB/T 6451-2015</w:t>
            </w:r>
          </w:p>
          <w:p w14:paraId="2727EA59">
            <w:pPr>
              <w:widowControl/>
              <w:spacing w:line="276" w:lineRule="auto"/>
              <w:jc w:val="center"/>
              <w:rPr>
                <w:sz w:val="18"/>
                <w:szCs w:val="18"/>
              </w:rPr>
            </w:pPr>
            <w:r>
              <w:rPr>
                <w:sz w:val="18"/>
                <w:szCs w:val="18"/>
              </w:rPr>
              <w:t>第4.3.4条；</w:t>
            </w:r>
          </w:p>
          <w:p w14:paraId="41561C24">
            <w:pPr>
              <w:widowControl/>
              <w:spacing w:line="276" w:lineRule="auto"/>
              <w:jc w:val="center"/>
              <w:rPr>
                <w:kern w:val="0"/>
                <w:sz w:val="18"/>
                <w:szCs w:val="18"/>
              </w:rPr>
            </w:pPr>
          </w:p>
        </w:tc>
        <w:tc>
          <w:tcPr>
            <w:tcW w:w="1365" w:type="dxa"/>
            <w:vAlign w:val="center"/>
          </w:tcPr>
          <w:p w14:paraId="1F8279AE">
            <w:pPr>
              <w:widowControl/>
              <w:spacing w:line="276" w:lineRule="auto"/>
              <w:jc w:val="center"/>
              <w:rPr>
                <w:sz w:val="18"/>
                <w:szCs w:val="18"/>
              </w:rPr>
            </w:pPr>
            <w:r>
              <w:rPr>
                <w:sz w:val="18"/>
                <w:szCs w:val="18"/>
              </w:rPr>
              <w:t>B类</w:t>
            </w:r>
          </w:p>
        </w:tc>
      </w:tr>
      <w:tr w14:paraId="4DC90E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4" w:type="dxa"/>
            <w:shd w:val="clear" w:color="auto" w:fill="auto"/>
            <w:vAlign w:val="center"/>
          </w:tcPr>
          <w:p w14:paraId="14AE7AD9">
            <w:pPr>
              <w:widowControl/>
              <w:spacing w:line="276" w:lineRule="auto"/>
              <w:jc w:val="center"/>
              <w:rPr>
                <w:kern w:val="0"/>
                <w:sz w:val="18"/>
                <w:szCs w:val="18"/>
              </w:rPr>
            </w:pPr>
            <w:r>
              <w:rPr>
                <w:kern w:val="0"/>
                <w:sz w:val="18"/>
                <w:szCs w:val="18"/>
              </w:rPr>
              <w:t>10</w:t>
            </w:r>
          </w:p>
        </w:tc>
        <w:tc>
          <w:tcPr>
            <w:tcW w:w="1190" w:type="dxa"/>
            <w:shd w:val="clear" w:color="auto" w:fill="auto"/>
            <w:vAlign w:val="center"/>
          </w:tcPr>
          <w:p w14:paraId="04ABA24A">
            <w:pPr>
              <w:widowControl/>
              <w:spacing w:line="276" w:lineRule="auto"/>
              <w:jc w:val="center"/>
              <w:rPr>
                <w:kern w:val="0"/>
                <w:sz w:val="18"/>
                <w:szCs w:val="18"/>
              </w:rPr>
            </w:pPr>
            <w:r>
              <w:rPr>
                <w:sz w:val="18"/>
                <w:szCs w:val="18"/>
              </w:rPr>
              <w:t>温升试验</w:t>
            </w:r>
            <w:r>
              <w:rPr>
                <w:kern w:val="0"/>
                <w:sz w:val="18"/>
                <w:szCs w:val="18"/>
              </w:rPr>
              <w:t>（可选）</w:t>
            </w:r>
          </w:p>
        </w:tc>
        <w:tc>
          <w:tcPr>
            <w:tcW w:w="3401" w:type="dxa"/>
            <w:shd w:val="clear" w:color="auto" w:fill="auto"/>
            <w:vAlign w:val="center"/>
          </w:tcPr>
          <w:p w14:paraId="477DA0FD">
            <w:pPr>
              <w:spacing w:line="276" w:lineRule="auto"/>
              <w:jc w:val="left"/>
              <w:rPr>
                <w:sz w:val="18"/>
                <w:szCs w:val="18"/>
              </w:rPr>
            </w:pPr>
            <w:r>
              <w:rPr>
                <w:sz w:val="18"/>
                <w:szCs w:val="18"/>
              </w:rPr>
              <w:t>施加变压器的总损耗，监测油和冷却介质的温度，试验持续进行，直到油的温度稳定为止，连续3小时顶层油温变化率小于1K/h；测定顶层油温后，将试验电流降至额定电流，持续1h后，迅速测量绕组直流电阻，计算绕组的平均温升。</w:t>
            </w:r>
          </w:p>
          <w:p w14:paraId="3995D4EA">
            <w:pPr>
              <w:spacing w:line="276" w:lineRule="auto"/>
              <w:jc w:val="left"/>
              <w:rPr>
                <w:sz w:val="18"/>
                <w:szCs w:val="18"/>
              </w:rPr>
            </w:pPr>
            <w:r>
              <w:rPr>
                <w:sz w:val="18"/>
                <w:szCs w:val="18"/>
              </w:rPr>
              <w:t>油面温升限值：60K，</w:t>
            </w:r>
          </w:p>
          <w:p w14:paraId="4415E807">
            <w:pPr>
              <w:spacing w:line="276" w:lineRule="auto"/>
              <w:jc w:val="left"/>
              <w:rPr>
                <w:sz w:val="18"/>
                <w:szCs w:val="18"/>
              </w:rPr>
            </w:pPr>
            <w:r>
              <w:rPr>
                <w:sz w:val="18"/>
                <w:szCs w:val="18"/>
              </w:rPr>
              <w:t>绕组温升限值：65K。</w:t>
            </w:r>
          </w:p>
        </w:tc>
        <w:tc>
          <w:tcPr>
            <w:tcW w:w="1862" w:type="dxa"/>
            <w:vAlign w:val="center"/>
          </w:tcPr>
          <w:p w14:paraId="3A42A634">
            <w:pPr>
              <w:widowControl/>
              <w:spacing w:line="276" w:lineRule="auto"/>
              <w:jc w:val="left"/>
              <w:rPr>
                <w:kern w:val="0"/>
                <w:sz w:val="18"/>
                <w:szCs w:val="18"/>
              </w:rPr>
            </w:pPr>
            <w:r>
              <w:rPr>
                <w:kern w:val="0"/>
                <w:sz w:val="18"/>
                <w:szCs w:val="18"/>
              </w:rPr>
              <w:t>GB/T 1094.2-2013</w:t>
            </w:r>
          </w:p>
        </w:tc>
        <w:tc>
          <w:tcPr>
            <w:tcW w:w="1365" w:type="dxa"/>
            <w:vAlign w:val="center"/>
          </w:tcPr>
          <w:p w14:paraId="29EEEB63">
            <w:pPr>
              <w:widowControl/>
              <w:spacing w:line="276" w:lineRule="auto"/>
              <w:jc w:val="center"/>
              <w:rPr>
                <w:kern w:val="0"/>
                <w:sz w:val="18"/>
                <w:szCs w:val="18"/>
              </w:rPr>
            </w:pPr>
            <w:r>
              <w:rPr>
                <w:sz w:val="18"/>
                <w:szCs w:val="18"/>
              </w:rPr>
              <w:t>B类</w:t>
            </w:r>
          </w:p>
        </w:tc>
      </w:tr>
      <w:tr w14:paraId="171078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704" w:type="dxa"/>
            <w:shd w:val="clear" w:color="auto" w:fill="auto"/>
            <w:vAlign w:val="center"/>
          </w:tcPr>
          <w:p w14:paraId="3535A76A">
            <w:pPr>
              <w:widowControl/>
              <w:spacing w:line="276" w:lineRule="auto"/>
              <w:jc w:val="center"/>
              <w:rPr>
                <w:kern w:val="0"/>
                <w:sz w:val="18"/>
                <w:szCs w:val="18"/>
              </w:rPr>
            </w:pPr>
            <w:r>
              <w:rPr>
                <w:kern w:val="0"/>
                <w:sz w:val="18"/>
                <w:szCs w:val="18"/>
              </w:rPr>
              <w:t>11</w:t>
            </w:r>
          </w:p>
        </w:tc>
        <w:tc>
          <w:tcPr>
            <w:tcW w:w="1190" w:type="dxa"/>
            <w:shd w:val="clear" w:color="auto" w:fill="auto"/>
            <w:vAlign w:val="center"/>
          </w:tcPr>
          <w:p w14:paraId="66645D61">
            <w:pPr>
              <w:widowControl/>
              <w:spacing w:line="276" w:lineRule="auto"/>
              <w:jc w:val="center"/>
              <w:rPr>
                <w:kern w:val="0"/>
                <w:sz w:val="18"/>
                <w:szCs w:val="18"/>
              </w:rPr>
            </w:pPr>
            <w:r>
              <w:rPr>
                <w:sz w:val="18"/>
                <w:szCs w:val="18"/>
              </w:rPr>
              <w:t>雷电冲击试验</w:t>
            </w:r>
            <w:r>
              <w:rPr>
                <w:kern w:val="0"/>
                <w:sz w:val="18"/>
                <w:szCs w:val="18"/>
              </w:rPr>
              <w:t>（可选）</w:t>
            </w:r>
          </w:p>
        </w:tc>
        <w:tc>
          <w:tcPr>
            <w:tcW w:w="3401" w:type="dxa"/>
            <w:shd w:val="clear" w:color="auto" w:fill="auto"/>
            <w:vAlign w:val="center"/>
          </w:tcPr>
          <w:p w14:paraId="335F4435">
            <w:pPr>
              <w:spacing w:line="276" w:lineRule="auto"/>
              <w:jc w:val="left"/>
              <w:rPr>
                <w:sz w:val="18"/>
                <w:szCs w:val="18"/>
              </w:rPr>
            </w:pPr>
            <w:r>
              <w:rPr>
                <w:sz w:val="18"/>
                <w:szCs w:val="18"/>
              </w:rPr>
              <w:t>雷电冲击试验应在变压器高压出线端子所有端子上进行。雷电全波试验电压为</w:t>
            </w:r>
            <w:r>
              <w:rPr>
                <w:rFonts w:hint="eastAsia" w:hAnsi="宋体"/>
                <w:sz w:val="18"/>
                <w:szCs w:val="18"/>
              </w:rPr>
              <w:t>75±3%kV</w:t>
            </w:r>
            <w:r>
              <w:rPr>
                <w:sz w:val="18"/>
                <w:szCs w:val="18"/>
              </w:rPr>
              <w:t>，雷电截波试验电压为</w:t>
            </w:r>
            <w:r>
              <w:rPr>
                <w:rFonts w:hint="eastAsia" w:hAnsi="宋体"/>
                <w:sz w:val="18"/>
                <w:szCs w:val="18"/>
              </w:rPr>
              <w:t>85±3%kV</w:t>
            </w:r>
            <w:r>
              <w:rPr>
                <w:sz w:val="18"/>
                <w:szCs w:val="18"/>
              </w:rPr>
              <w:t>，负极性。雷电全波波前时间一般为</w:t>
            </w:r>
            <w:r>
              <w:rPr>
                <w:rFonts w:hint="eastAsia" w:hAnsi="宋体"/>
                <w:sz w:val="18"/>
                <w:szCs w:val="18"/>
              </w:rPr>
              <w:t>1.2μs±30%</w:t>
            </w:r>
            <w:r>
              <w:rPr>
                <w:sz w:val="18"/>
                <w:szCs w:val="18"/>
              </w:rPr>
              <w:t>，半波峰时间</w:t>
            </w:r>
            <w:r>
              <w:rPr>
                <w:rFonts w:hint="eastAsia" w:hAnsi="宋体"/>
                <w:sz w:val="18"/>
                <w:szCs w:val="18"/>
              </w:rPr>
              <w:t>50μs±20%</w:t>
            </w:r>
            <w:r>
              <w:rPr>
                <w:sz w:val="18"/>
                <w:szCs w:val="18"/>
              </w:rPr>
              <w:t>；雷电截波截断时间在</w:t>
            </w:r>
            <w:r>
              <w:rPr>
                <w:rFonts w:hint="eastAsia" w:hAnsi="宋体"/>
                <w:sz w:val="18"/>
                <w:szCs w:val="18"/>
              </w:rPr>
              <w:t>3μs～6μs</w:t>
            </w:r>
            <w:r>
              <w:rPr>
                <w:sz w:val="18"/>
                <w:szCs w:val="18"/>
              </w:rPr>
              <w:t>之间。</w:t>
            </w:r>
          </w:p>
          <w:p w14:paraId="68C8634B">
            <w:pPr>
              <w:spacing w:line="276" w:lineRule="auto"/>
              <w:jc w:val="left"/>
              <w:rPr>
                <w:sz w:val="18"/>
                <w:szCs w:val="18"/>
              </w:rPr>
            </w:pPr>
            <w:r>
              <w:rPr>
                <w:sz w:val="18"/>
                <w:szCs w:val="18"/>
              </w:rPr>
              <w:t>试验顺序：</w:t>
            </w:r>
            <w:r>
              <w:rPr>
                <w:rFonts w:hint="eastAsia"/>
                <w:sz w:val="18"/>
                <w:szCs w:val="18"/>
              </w:rPr>
              <w:t>雷电冲击试验试验顺序应按GB/T 1094.3-2017条款13.2.2；13.2.3规定进行（区分带线性元件变压器和非带线性元件变压器）</w:t>
            </w:r>
            <w:r>
              <w:rPr>
                <w:sz w:val="18"/>
                <w:szCs w:val="18"/>
              </w:rPr>
              <w:t>。</w:t>
            </w:r>
          </w:p>
          <w:p w14:paraId="6A961D5E">
            <w:pPr>
              <w:spacing w:line="276" w:lineRule="auto"/>
              <w:jc w:val="left"/>
              <w:rPr>
                <w:sz w:val="18"/>
                <w:szCs w:val="18"/>
              </w:rPr>
            </w:pPr>
            <w:r>
              <w:rPr>
                <w:sz w:val="18"/>
                <w:szCs w:val="18"/>
              </w:rPr>
              <w:t>试验过程中变压器无异常声响，在降低试验电压下冲击与全试验电压下冲击的示波图上电压和电流的波形无明显差异。</w:t>
            </w:r>
          </w:p>
        </w:tc>
        <w:tc>
          <w:tcPr>
            <w:tcW w:w="1862" w:type="dxa"/>
            <w:vAlign w:val="center"/>
          </w:tcPr>
          <w:p w14:paraId="1BF19949">
            <w:pPr>
              <w:widowControl/>
              <w:spacing w:line="276" w:lineRule="auto"/>
              <w:jc w:val="center"/>
              <w:rPr>
                <w:bCs/>
                <w:sz w:val="18"/>
                <w:szCs w:val="18"/>
              </w:rPr>
            </w:pPr>
            <w:r>
              <w:rPr>
                <w:bCs/>
                <w:sz w:val="18"/>
                <w:szCs w:val="18"/>
              </w:rPr>
              <w:t>GB</w:t>
            </w:r>
            <w:r>
              <w:rPr>
                <w:rFonts w:hint="eastAsia"/>
                <w:bCs/>
                <w:sz w:val="18"/>
                <w:szCs w:val="18"/>
              </w:rPr>
              <w:t>/T</w:t>
            </w:r>
            <w:r>
              <w:rPr>
                <w:bCs/>
                <w:sz w:val="18"/>
                <w:szCs w:val="18"/>
              </w:rPr>
              <w:t xml:space="preserve"> 1094.3-20</w:t>
            </w:r>
            <w:r>
              <w:rPr>
                <w:rFonts w:hint="eastAsia"/>
                <w:bCs/>
                <w:sz w:val="18"/>
                <w:szCs w:val="18"/>
              </w:rPr>
              <w:t>17</w:t>
            </w:r>
          </w:p>
          <w:p w14:paraId="1E923BD8">
            <w:pPr>
              <w:widowControl/>
              <w:spacing w:line="276" w:lineRule="auto"/>
              <w:jc w:val="center"/>
              <w:rPr>
                <w:bCs/>
                <w:sz w:val="18"/>
                <w:szCs w:val="18"/>
              </w:rPr>
            </w:pPr>
            <w:r>
              <w:rPr>
                <w:bCs/>
                <w:sz w:val="18"/>
                <w:szCs w:val="18"/>
              </w:rPr>
              <w:t>第13</w:t>
            </w:r>
            <w:r>
              <w:rPr>
                <w:rFonts w:hint="eastAsia"/>
                <w:bCs/>
                <w:sz w:val="18"/>
                <w:szCs w:val="18"/>
              </w:rPr>
              <w:t>.2.2</w:t>
            </w:r>
            <w:r>
              <w:rPr>
                <w:bCs/>
                <w:sz w:val="18"/>
                <w:szCs w:val="18"/>
              </w:rPr>
              <w:t>、1</w:t>
            </w:r>
            <w:r>
              <w:rPr>
                <w:rFonts w:hint="eastAsia"/>
                <w:bCs/>
                <w:sz w:val="18"/>
                <w:szCs w:val="18"/>
              </w:rPr>
              <w:t>3.2.3</w:t>
            </w:r>
            <w:r>
              <w:rPr>
                <w:bCs/>
                <w:sz w:val="18"/>
                <w:szCs w:val="18"/>
              </w:rPr>
              <w:t>条；</w:t>
            </w:r>
          </w:p>
          <w:p w14:paraId="6B0E9B64">
            <w:pPr>
              <w:widowControl/>
              <w:spacing w:line="276" w:lineRule="auto"/>
              <w:jc w:val="center"/>
              <w:rPr>
                <w:bCs/>
                <w:sz w:val="18"/>
                <w:szCs w:val="18"/>
              </w:rPr>
            </w:pPr>
          </w:p>
        </w:tc>
        <w:tc>
          <w:tcPr>
            <w:tcW w:w="1365" w:type="dxa"/>
            <w:vAlign w:val="center"/>
          </w:tcPr>
          <w:p w14:paraId="2A6C47EF">
            <w:pPr>
              <w:widowControl/>
              <w:spacing w:line="276" w:lineRule="auto"/>
              <w:jc w:val="center"/>
              <w:rPr>
                <w:kern w:val="0"/>
                <w:sz w:val="18"/>
                <w:szCs w:val="18"/>
              </w:rPr>
            </w:pPr>
            <w:r>
              <w:rPr>
                <w:sz w:val="18"/>
                <w:szCs w:val="18"/>
              </w:rPr>
              <w:t>A类</w:t>
            </w:r>
          </w:p>
        </w:tc>
      </w:tr>
      <w:tr w14:paraId="767152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4" w:type="dxa"/>
            <w:shd w:val="clear" w:color="auto" w:fill="auto"/>
            <w:vAlign w:val="center"/>
          </w:tcPr>
          <w:p w14:paraId="6DE647C5">
            <w:pPr>
              <w:widowControl/>
              <w:spacing w:line="276" w:lineRule="auto"/>
              <w:jc w:val="center"/>
              <w:rPr>
                <w:kern w:val="0"/>
                <w:sz w:val="18"/>
                <w:szCs w:val="18"/>
              </w:rPr>
            </w:pPr>
            <w:r>
              <w:rPr>
                <w:kern w:val="0"/>
                <w:sz w:val="18"/>
                <w:szCs w:val="18"/>
              </w:rPr>
              <w:t>12</w:t>
            </w:r>
          </w:p>
        </w:tc>
        <w:tc>
          <w:tcPr>
            <w:tcW w:w="1190" w:type="dxa"/>
            <w:shd w:val="clear" w:color="auto" w:fill="auto"/>
            <w:vAlign w:val="center"/>
          </w:tcPr>
          <w:p w14:paraId="365C556A">
            <w:pPr>
              <w:widowControl/>
              <w:spacing w:line="276" w:lineRule="auto"/>
              <w:jc w:val="center"/>
              <w:rPr>
                <w:sz w:val="18"/>
                <w:szCs w:val="18"/>
              </w:rPr>
            </w:pPr>
            <w:r>
              <w:rPr>
                <w:kern w:val="0"/>
                <w:sz w:val="18"/>
                <w:szCs w:val="18"/>
              </w:rPr>
              <w:t>绝缘油试验（可选）</w:t>
            </w:r>
          </w:p>
        </w:tc>
        <w:tc>
          <w:tcPr>
            <w:tcW w:w="3401" w:type="dxa"/>
            <w:shd w:val="clear" w:color="auto" w:fill="auto"/>
            <w:vAlign w:val="center"/>
          </w:tcPr>
          <w:p w14:paraId="0F459F4C">
            <w:pPr>
              <w:spacing w:line="276" w:lineRule="auto"/>
              <w:jc w:val="left"/>
              <w:rPr>
                <w:sz w:val="18"/>
                <w:szCs w:val="18"/>
              </w:rPr>
            </w:pPr>
            <w:r>
              <w:rPr>
                <w:sz w:val="18"/>
                <w:szCs w:val="18"/>
              </w:rPr>
              <w:t>绝缘油试验包括物理、化学、电气性能试验，其中投运前应满足以下要求：</w:t>
            </w:r>
            <w:r>
              <w:rPr>
                <w:rFonts w:hint="eastAsia" w:hAnsi="宋体"/>
                <w:sz w:val="18"/>
                <w:szCs w:val="18"/>
              </w:rPr>
              <w:t>击穿电压≥35kV；介质损耗因数tanδ（90℃）≤1.0%。</w:t>
            </w:r>
          </w:p>
        </w:tc>
        <w:tc>
          <w:tcPr>
            <w:tcW w:w="1862" w:type="dxa"/>
            <w:vAlign w:val="center"/>
          </w:tcPr>
          <w:p w14:paraId="7CFCEDA3">
            <w:pPr>
              <w:widowControl/>
              <w:spacing w:line="276" w:lineRule="auto"/>
              <w:jc w:val="left"/>
              <w:rPr>
                <w:kern w:val="0"/>
                <w:sz w:val="18"/>
                <w:szCs w:val="18"/>
              </w:rPr>
            </w:pPr>
            <w:r>
              <w:rPr>
                <w:kern w:val="0"/>
                <w:sz w:val="18"/>
                <w:szCs w:val="18"/>
              </w:rPr>
              <w:t>GB/T 507-2002</w:t>
            </w:r>
          </w:p>
          <w:p w14:paraId="0E358DEA">
            <w:pPr>
              <w:widowControl/>
              <w:spacing w:line="276" w:lineRule="auto"/>
              <w:jc w:val="left"/>
              <w:rPr>
                <w:kern w:val="0"/>
                <w:sz w:val="18"/>
                <w:szCs w:val="18"/>
              </w:rPr>
            </w:pPr>
          </w:p>
        </w:tc>
        <w:tc>
          <w:tcPr>
            <w:tcW w:w="1365" w:type="dxa"/>
            <w:vAlign w:val="center"/>
          </w:tcPr>
          <w:p w14:paraId="3791FBB0">
            <w:pPr>
              <w:widowControl/>
              <w:spacing w:line="276" w:lineRule="auto"/>
              <w:jc w:val="center"/>
              <w:rPr>
                <w:kern w:val="0"/>
                <w:sz w:val="18"/>
                <w:szCs w:val="18"/>
              </w:rPr>
            </w:pPr>
            <w:r>
              <w:rPr>
                <w:sz w:val="18"/>
                <w:szCs w:val="18"/>
              </w:rPr>
              <w:t>B类</w:t>
            </w:r>
          </w:p>
        </w:tc>
      </w:tr>
      <w:tr w14:paraId="517EF0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4" w:type="dxa"/>
            <w:shd w:val="clear" w:color="auto" w:fill="auto"/>
            <w:vAlign w:val="center"/>
          </w:tcPr>
          <w:p w14:paraId="748331DB">
            <w:pPr>
              <w:widowControl/>
              <w:spacing w:line="276" w:lineRule="auto"/>
              <w:jc w:val="center"/>
              <w:rPr>
                <w:kern w:val="0"/>
                <w:sz w:val="18"/>
                <w:szCs w:val="18"/>
              </w:rPr>
            </w:pPr>
            <w:r>
              <w:rPr>
                <w:kern w:val="0"/>
                <w:sz w:val="18"/>
                <w:szCs w:val="18"/>
              </w:rPr>
              <w:t>13</w:t>
            </w:r>
          </w:p>
        </w:tc>
        <w:tc>
          <w:tcPr>
            <w:tcW w:w="1190" w:type="dxa"/>
            <w:shd w:val="clear" w:color="auto" w:fill="auto"/>
            <w:vAlign w:val="center"/>
          </w:tcPr>
          <w:p w14:paraId="681C8A3A">
            <w:pPr>
              <w:spacing w:line="276" w:lineRule="auto"/>
              <w:ind w:left="57"/>
              <w:jc w:val="center"/>
              <w:rPr>
                <w:sz w:val="18"/>
                <w:szCs w:val="18"/>
              </w:rPr>
            </w:pPr>
            <w:r>
              <w:rPr>
                <w:sz w:val="18"/>
                <w:szCs w:val="18"/>
              </w:rPr>
              <w:t>声级测定</w:t>
            </w:r>
          </w:p>
          <w:p w14:paraId="29EFD406">
            <w:pPr>
              <w:spacing w:line="276" w:lineRule="auto"/>
              <w:ind w:left="57"/>
              <w:jc w:val="center"/>
              <w:rPr>
                <w:sz w:val="18"/>
                <w:szCs w:val="18"/>
              </w:rPr>
            </w:pPr>
            <w:r>
              <w:rPr>
                <w:sz w:val="18"/>
                <w:szCs w:val="18"/>
              </w:rPr>
              <w:t>（特殊试验）（可选）</w:t>
            </w:r>
          </w:p>
        </w:tc>
        <w:tc>
          <w:tcPr>
            <w:tcW w:w="3401" w:type="dxa"/>
            <w:shd w:val="clear" w:color="auto" w:fill="auto"/>
            <w:vAlign w:val="center"/>
          </w:tcPr>
          <w:p w14:paraId="70A5B4CE">
            <w:pPr>
              <w:spacing w:line="276" w:lineRule="auto"/>
              <w:jc w:val="left"/>
              <w:rPr>
                <w:sz w:val="18"/>
                <w:szCs w:val="18"/>
              </w:rPr>
            </w:pPr>
            <w:r>
              <w:rPr>
                <w:sz w:val="18"/>
                <w:szCs w:val="18"/>
              </w:rPr>
              <w:t>测量应在背景噪声近似恒定时进行。测量背景噪声时，测量点应在规定的轮廓线上。测试完毕且在切除试品电源后，应立即重复测量背景噪声。</w:t>
            </w:r>
          </w:p>
          <w:p w14:paraId="20163FBE">
            <w:pPr>
              <w:spacing w:line="276" w:lineRule="auto"/>
              <w:jc w:val="left"/>
              <w:rPr>
                <w:sz w:val="18"/>
                <w:szCs w:val="18"/>
              </w:rPr>
            </w:pPr>
            <w:r>
              <w:rPr>
                <w:sz w:val="18"/>
                <w:szCs w:val="18"/>
              </w:rPr>
              <w:t>试验过程中应注意：各测点A计权声压级间的差别不大于5dB，可采用简单的算术平均值计算声压级；如果试验前后背景的平均声压级之差大于3dB，且较高者与未修正的平均A计权声压级之差小于8dB，则本次测量无效，应重新进行试验；</w:t>
            </w:r>
          </w:p>
          <w:p w14:paraId="10982E13">
            <w:pPr>
              <w:spacing w:line="276" w:lineRule="auto"/>
              <w:jc w:val="left"/>
              <w:rPr>
                <w:sz w:val="18"/>
                <w:szCs w:val="18"/>
              </w:rPr>
            </w:pPr>
            <w:r>
              <w:rPr>
                <w:sz w:val="18"/>
                <w:szCs w:val="18"/>
              </w:rPr>
              <w:t>允许试品与背景的合成声级同背景声级之间有小的差值，但仍需尽力使其差值不小于6dB；当背景噪声与合成声级之差小于3dB时，应考虑使用其他的测量方法。</w:t>
            </w:r>
          </w:p>
        </w:tc>
        <w:tc>
          <w:tcPr>
            <w:tcW w:w="1862" w:type="dxa"/>
            <w:vAlign w:val="center"/>
          </w:tcPr>
          <w:p w14:paraId="392C3E68">
            <w:pPr>
              <w:widowControl/>
              <w:spacing w:line="276" w:lineRule="auto"/>
              <w:jc w:val="left"/>
              <w:rPr>
                <w:kern w:val="0"/>
                <w:sz w:val="18"/>
                <w:szCs w:val="18"/>
              </w:rPr>
            </w:pPr>
            <w:r>
              <w:rPr>
                <w:kern w:val="0"/>
                <w:sz w:val="18"/>
                <w:szCs w:val="18"/>
              </w:rPr>
              <w:t>GB/T 1094.10-2003；</w:t>
            </w:r>
          </w:p>
          <w:p w14:paraId="7162FBC3">
            <w:pPr>
              <w:widowControl/>
              <w:spacing w:line="276" w:lineRule="auto"/>
              <w:jc w:val="left"/>
              <w:rPr>
                <w:kern w:val="0"/>
                <w:sz w:val="18"/>
                <w:szCs w:val="18"/>
              </w:rPr>
            </w:pPr>
            <w:r>
              <w:rPr>
                <w:kern w:val="0"/>
                <w:sz w:val="18"/>
                <w:szCs w:val="18"/>
              </w:rPr>
              <w:t>JB/T 10088-2004；</w:t>
            </w:r>
          </w:p>
          <w:p w14:paraId="7D615BD3">
            <w:pPr>
              <w:widowControl/>
              <w:spacing w:line="276" w:lineRule="auto"/>
              <w:jc w:val="left"/>
              <w:rPr>
                <w:kern w:val="0"/>
                <w:sz w:val="18"/>
                <w:szCs w:val="18"/>
              </w:rPr>
            </w:pPr>
          </w:p>
        </w:tc>
        <w:tc>
          <w:tcPr>
            <w:tcW w:w="1365" w:type="dxa"/>
            <w:vAlign w:val="center"/>
          </w:tcPr>
          <w:p w14:paraId="1B0CB4C0">
            <w:pPr>
              <w:spacing w:line="276" w:lineRule="auto"/>
              <w:jc w:val="center"/>
              <w:rPr>
                <w:sz w:val="18"/>
                <w:szCs w:val="18"/>
              </w:rPr>
            </w:pPr>
            <w:r>
              <w:rPr>
                <w:sz w:val="18"/>
                <w:szCs w:val="18"/>
              </w:rPr>
              <w:t>B类</w:t>
            </w:r>
          </w:p>
        </w:tc>
      </w:tr>
    </w:tbl>
    <w:p w14:paraId="3C675442">
      <w:pPr>
        <w:pStyle w:val="45"/>
        <w:spacing w:before="312" w:after="312"/>
        <w:ind w:left="0"/>
        <w:outlineLvl w:val="0"/>
      </w:pPr>
      <w:bookmarkStart w:id="80" w:name="_Toc102557404"/>
      <w:bookmarkEnd w:id="80"/>
      <w:bookmarkStart w:id="81" w:name="_Toc102557405"/>
      <w:r>
        <w:rPr>
          <w:rFonts w:hint="eastAsia"/>
        </w:rPr>
        <w:t>差异化抽检</w:t>
      </w:r>
      <w:bookmarkEnd w:id="81"/>
    </w:p>
    <w:p w14:paraId="63184E8D">
      <w:pPr>
        <w:pStyle w:val="42"/>
        <w:spacing w:before="156" w:after="156"/>
        <w:ind w:left="0"/>
        <w:outlineLvl w:val="9"/>
      </w:pPr>
      <w:r>
        <w:rPr>
          <w:rFonts w:hint="eastAsia"/>
        </w:rPr>
        <w:t>差异化抽检实施</w:t>
      </w:r>
    </w:p>
    <w:p w14:paraId="368A6A9D">
      <w:pPr>
        <w:pStyle w:val="25"/>
      </w:pPr>
      <w:r>
        <w:rPr>
          <w:rFonts w:hint="eastAsia"/>
        </w:rPr>
        <w:t>到货抽检按物资设备质量评价等级的差异，匹配不同的抽检策略、检测项目、抽检频次和抽检数量。</w:t>
      </w:r>
    </w:p>
    <w:p w14:paraId="7728D862">
      <w:pPr>
        <w:pStyle w:val="42"/>
        <w:spacing w:before="156" w:after="156"/>
        <w:ind w:left="0"/>
        <w:outlineLvl w:val="9"/>
      </w:pPr>
      <w:r>
        <w:rPr>
          <w:rFonts w:hint="eastAsia"/>
        </w:rPr>
        <w:t>差异化抽检策略</w:t>
      </w:r>
    </w:p>
    <w:p w14:paraId="75020F26">
      <w:pPr>
        <w:pStyle w:val="25"/>
      </w:pPr>
      <w:r>
        <w:rPr>
          <w:rFonts w:hint="eastAsia"/>
        </w:rPr>
        <w:t>差异化抽检策略一般包括：宽松策略、常规策略和加严策略三种。</w:t>
      </w:r>
    </w:p>
    <w:p w14:paraId="6B0C2634">
      <w:pPr>
        <w:pStyle w:val="25"/>
      </w:pPr>
      <w:bookmarkStart w:id="82" w:name="_Hlk88398580"/>
      <w:r>
        <w:rPr>
          <w:rFonts w:hint="eastAsia"/>
        </w:rPr>
        <w:t>设备质量评价结果为优，采用宽松策略，</w:t>
      </w:r>
      <w:bookmarkStart w:id="83" w:name="_Hlk89812171"/>
      <w:r>
        <w:rPr>
          <w:rFonts w:hint="eastAsia"/>
        </w:rPr>
        <w:t>一般有：免检、减少检验项目、降低抽检频次、减少抽检样品数量等。</w:t>
      </w:r>
      <w:bookmarkEnd w:id="82"/>
      <w:bookmarkEnd w:id="83"/>
    </w:p>
    <w:p w14:paraId="4C228D67">
      <w:pPr>
        <w:pStyle w:val="25"/>
      </w:pPr>
      <w:r>
        <w:rPr>
          <w:rFonts w:hint="eastAsia"/>
        </w:rPr>
        <w:t>设备质量评价结果为良，采用常规抽检策略，按到货抽检的基本要求开展抽检工作。</w:t>
      </w:r>
    </w:p>
    <w:p w14:paraId="649793A3">
      <w:pPr>
        <w:pStyle w:val="25"/>
      </w:pPr>
      <w:r>
        <w:rPr>
          <w:rFonts w:hint="eastAsia"/>
        </w:rPr>
        <w:t>设备质量评价结果为差，采用加严抽检策略，一般有：增加检验项目、抽检数量和提高抽检频次等。必要时还可以根据品控管理的需要、结合监造、飞行检查、目证试验等方式对供应商制造现场实施动态差异管理，建立全方位覆盖。</w:t>
      </w:r>
    </w:p>
    <w:p w14:paraId="2607D1A6">
      <w:pPr>
        <w:pStyle w:val="25"/>
        <w:spacing w:before="156" w:beforeLines="50" w:after="156" w:afterLines="50"/>
        <w:ind w:firstLine="0" w:firstLineChars="0"/>
        <w:outlineLvl w:val="9"/>
        <w:rPr>
          <w:rFonts w:ascii="黑体" w:hAnsi="黑体" w:eastAsia="黑体"/>
        </w:rPr>
      </w:pPr>
      <w:bookmarkStart w:id="84" w:name="_Hlk88402298"/>
      <w:r>
        <w:rPr>
          <w:rFonts w:hint="eastAsia" w:ascii="黑体" w:hAnsi="黑体" w:eastAsia="黑体"/>
        </w:rPr>
        <w:t>7</w:t>
      </w:r>
      <w:r>
        <w:rPr>
          <w:rFonts w:ascii="黑体" w:hAnsi="黑体" w:eastAsia="黑体"/>
        </w:rPr>
        <w:t>.2.1</w:t>
      </w:r>
      <w:r>
        <w:rPr>
          <w:rFonts w:hint="eastAsia" w:ascii="黑体" w:hAnsi="黑体" w:eastAsia="黑体"/>
        </w:rPr>
        <w:t>差异化检测项目</w:t>
      </w:r>
    </w:p>
    <w:bookmarkEnd w:id="84"/>
    <w:p w14:paraId="15028355">
      <w:pPr>
        <w:pStyle w:val="25"/>
      </w:pPr>
      <w:bookmarkStart w:id="85" w:name="_Hlk88401831"/>
      <w:r>
        <w:rPr>
          <w:rFonts w:hint="eastAsia"/>
        </w:rPr>
        <w:t>差异化检测项目如表</w:t>
      </w:r>
      <w:r>
        <w:t>12.</w:t>
      </w:r>
      <w:r>
        <w:rPr>
          <w:rFonts w:hint="eastAsia"/>
        </w:rPr>
        <w:t>所示：</w:t>
      </w:r>
    </w:p>
    <w:p w14:paraId="1C7505EF">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表</w:t>
      </w:r>
      <w:r>
        <w:rPr>
          <w:rFonts w:ascii="黑体" w:hAnsi="黑体" w:eastAsia="黑体"/>
          <w:szCs w:val="21"/>
        </w:rPr>
        <w:t>12</w:t>
      </w:r>
      <w:r>
        <w:rPr>
          <w:rFonts w:ascii="黑体" w:hAnsi="黑体" w:eastAsia="黑体"/>
          <w:sz w:val="21"/>
          <w:szCs w:val="21"/>
        </w:rPr>
        <w:t>.</w:t>
      </w:r>
      <w:r>
        <w:rPr>
          <w:rFonts w:hint="eastAsia" w:ascii="黑体" w:hAnsi="黑体" w:eastAsia="黑体"/>
          <w:sz w:val="21"/>
          <w:szCs w:val="21"/>
        </w:rPr>
        <w:t>差异化检测项目</w:t>
      </w:r>
    </w:p>
    <w:tbl>
      <w:tblPr>
        <w:tblStyle w:val="35"/>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1367"/>
        <w:gridCol w:w="1910"/>
        <w:gridCol w:w="819"/>
        <w:gridCol w:w="992"/>
        <w:gridCol w:w="2291"/>
        <w:gridCol w:w="8"/>
        <w:gridCol w:w="1360"/>
        <w:gridCol w:w="8"/>
      </w:tblGrid>
      <w:tr w14:paraId="3CF76D3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11" w:hRule="atLeast"/>
          <w:jc w:val="center"/>
        </w:trPr>
        <w:tc>
          <w:tcPr>
            <w:tcW w:w="1367" w:type="dxa"/>
            <w:vAlign w:val="center"/>
          </w:tcPr>
          <w:p w14:paraId="50716230">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物资品类</w:t>
            </w:r>
          </w:p>
        </w:tc>
        <w:tc>
          <w:tcPr>
            <w:tcW w:w="2729" w:type="dxa"/>
            <w:gridSpan w:val="2"/>
            <w:vAlign w:val="center"/>
          </w:tcPr>
          <w:p w14:paraId="28D0A667">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质量评价等级</w:t>
            </w:r>
          </w:p>
        </w:tc>
        <w:tc>
          <w:tcPr>
            <w:tcW w:w="992" w:type="dxa"/>
            <w:vAlign w:val="center"/>
          </w:tcPr>
          <w:p w14:paraId="678C8486">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抽检策略</w:t>
            </w:r>
          </w:p>
        </w:tc>
        <w:tc>
          <w:tcPr>
            <w:tcW w:w="2299" w:type="dxa"/>
            <w:gridSpan w:val="2"/>
            <w:vAlign w:val="center"/>
          </w:tcPr>
          <w:p w14:paraId="14C4F0FC">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差异化检测项目</w:t>
            </w:r>
          </w:p>
        </w:tc>
        <w:tc>
          <w:tcPr>
            <w:tcW w:w="1368" w:type="dxa"/>
            <w:gridSpan w:val="2"/>
            <w:vAlign w:val="center"/>
          </w:tcPr>
          <w:p w14:paraId="625DA107">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备注</w:t>
            </w:r>
          </w:p>
        </w:tc>
      </w:tr>
      <w:tr w14:paraId="5A78E34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547" w:hRule="atLeast"/>
          <w:jc w:val="center"/>
        </w:trPr>
        <w:tc>
          <w:tcPr>
            <w:tcW w:w="1367" w:type="dxa"/>
            <w:vMerge w:val="restart"/>
            <w:vAlign w:val="center"/>
          </w:tcPr>
          <w:p w14:paraId="7B250754">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10kV 交流电力电缆\10kV高压开关柜\10kV油浸式变压器</w:t>
            </w:r>
          </w:p>
        </w:tc>
        <w:tc>
          <w:tcPr>
            <w:tcW w:w="1910" w:type="dxa"/>
            <w:vAlign w:val="center"/>
          </w:tcPr>
          <w:p w14:paraId="56971E7F">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最近连续三年均为</w:t>
            </w:r>
          </w:p>
        </w:tc>
        <w:tc>
          <w:tcPr>
            <w:tcW w:w="819" w:type="dxa"/>
            <w:vMerge w:val="restart"/>
            <w:vAlign w:val="center"/>
          </w:tcPr>
          <w:p w14:paraId="7E79C713">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优</w:t>
            </w:r>
          </w:p>
        </w:tc>
        <w:tc>
          <w:tcPr>
            <w:tcW w:w="992" w:type="dxa"/>
            <w:vMerge w:val="restart"/>
            <w:vAlign w:val="center"/>
          </w:tcPr>
          <w:p w14:paraId="20D7150C">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宽松</w:t>
            </w:r>
          </w:p>
        </w:tc>
        <w:tc>
          <w:tcPr>
            <w:tcW w:w="2291" w:type="dxa"/>
            <w:vAlign w:val="center"/>
          </w:tcPr>
          <w:p w14:paraId="764F2B9F">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2年内免检</w:t>
            </w:r>
          </w:p>
        </w:tc>
        <w:tc>
          <w:tcPr>
            <w:tcW w:w="1368" w:type="dxa"/>
            <w:gridSpan w:val="2"/>
            <w:vMerge w:val="restart"/>
          </w:tcPr>
          <w:p w14:paraId="564970CA">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对于差异化检测项目，各使用人可根据自身实际进行调整。当发现质量评价等级下降时，应相应调高抽检策略的等级。</w:t>
            </w:r>
          </w:p>
        </w:tc>
      </w:tr>
      <w:tr w14:paraId="5FB4CB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522" w:hRule="atLeast"/>
          <w:jc w:val="center"/>
        </w:trPr>
        <w:tc>
          <w:tcPr>
            <w:tcW w:w="1367" w:type="dxa"/>
            <w:vMerge w:val="continue"/>
            <w:vAlign w:val="center"/>
          </w:tcPr>
          <w:p w14:paraId="6AB4ECB8">
            <w:pPr>
              <w:pStyle w:val="25"/>
              <w:ind w:firstLine="0" w:firstLineChars="0"/>
              <w:rPr>
                <w:rFonts w:asciiTheme="majorEastAsia" w:hAnsiTheme="majorEastAsia" w:eastAsiaTheme="majorEastAsia"/>
                <w:sz w:val="16"/>
                <w:szCs w:val="16"/>
              </w:rPr>
            </w:pPr>
          </w:p>
        </w:tc>
        <w:tc>
          <w:tcPr>
            <w:tcW w:w="1910" w:type="dxa"/>
            <w:vAlign w:val="center"/>
          </w:tcPr>
          <w:p w14:paraId="39EA3053">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最近连续两年均为</w:t>
            </w:r>
          </w:p>
        </w:tc>
        <w:tc>
          <w:tcPr>
            <w:tcW w:w="819" w:type="dxa"/>
            <w:vMerge w:val="continue"/>
            <w:vAlign w:val="center"/>
          </w:tcPr>
          <w:p w14:paraId="684CC60D">
            <w:pPr>
              <w:pStyle w:val="25"/>
              <w:ind w:firstLine="0" w:firstLineChars="0"/>
              <w:jc w:val="center"/>
              <w:rPr>
                <w:rFonts w:asciiTheme="majorEastAsia" w:hAnsiTheme="majorEastAsia" w:eastAsiaTheme="majorEastAsia"/>
                <w:sz w:val="16"/>
                <w:szCs w:val="16"/>
              </w:rPr>
            </w:pPr>
          </w:p>
        </w:tc>
        <w:tc>
          <w:tcPr>
            <w:tcW w:w="992" w:type="dxa"/>
            <w:vMerge w:val="continue"/>
            <w:vAlign w:val="center"/>
          </w:tcPr>
          <w:p w14:paraId="6456E21F">
            <w:pPr>
              <w:pStyle w:val="25"/>
              <w:ind w:firstLine="0" w:firstLineChars="0"/>
              <w:rPr>
                <w:rFonts w:asciiTheme="majorEastAsia" w:hAnsiTheme="majorEastAsia" w:eastAsiaTheme="majorEastAsia"/>
                <w:sz w:val="16"/>
                <w:szCs w:val="16"/>
              </w:rPr>
            </w:pPr>
          </w:p>
        </w:tc>
        <w:tc>
          <w:tcPr>
            <w:tcW w:w="2291" w:type="dxa"/>
            <w:vAlign w:val="center"/>
          </w:tcPr>
          <w:p w14:paraId="742DB3B3">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按6</w:t>
            </w:r>
            <w:r>
              <w:rPr>
                <w:rFonts w:asciiTheme="majorEastAsia" w:hAnsiTheme="majorEastAsia" w:eastAsiaTheme="majorEastAsia"/>
                <w:sz w:val="16"/>
                <w:szCs w:val="16"/>
              </w:rPr>
              <w:t>.2.</w:t>
            </w:r>
            <w:r>
              <w:rPr>
                <w:rFonts w:hint="eastAsia" w:asciiTheme="majorEastAsia" w:hAnsiTheme="majorEastAsia" w:eastAsiaTheme="majorEastAsia"/>
                <w:sz w:val="16"/>
                <w:szCs w:val="16"/>
              </w:rPr>
              <w:t>表9</w:t>
            </w:r>
            <w:r>
              <w:rPr>
                <w:rFonts w:asciiTheme="majorEastAsia" w:hAnsiTheme="majorEastAsia" w:eastAsiaTheme="majorEastAsia"/>
                <w:sz w:val="16"/>
                <w:szCs w:val="16"/>
              </w:rPr>
              <w:t>.</w:t>
            </w:r>
            <w:r>
              <w:rPr>
                <w:rFonts w:hint="eastAsia" w:asciiTheme="majorEastAsia" w:hAnsiTheme="majorEastAsia" w:eastAsiaTheme="majorEastAsia"/>
                <w:sz w:val="16"/>
                <w:szCs w:val="16"/>
              </w:rPr>
              <w:t>、表1</w:t>
            </w:r>
            <w:r>
              <w:rPr>
                <w:rFonts w:asciiTheme="majorEastAsia" w:hAnsiTheme="majorEastAsia" w:eastAsiaTheme="majorEastAsia"/>
                <w:sz w:val="16"/>
                <w:szCs w:val="16"/>
              </w:rPr>
              <w:t>0.</w:t>
            </w:r>
            <w:r>
              <w:rPr>
                <w:rFonts w:hint="eastAsia" w:asciiTheme="majorEastAsia" w:hAnsiTheme="majorEastAsia" w:eastAsiaTheme="majorEastAsia"/>
                <w:sz w:val="16"/>
                <w:szCs w:val="16"/>
              </w:rPr>
              <w:t>和表1</w:t>
            </w:r>
            <w:r>
              <w:rPr>
                <w:rFonts w:asciiTheme="majorEastAsia" w:hAnsiTheme="majorEastAsia" w:eastAsiaTheme="majorEastAsia"/>
                <w:sz w:val="16"/>
                <w:szCs w:val="16"/>
              </w:rPr>
              <w:t>1.</w:t>
            </w:r>
            <w:r>
              <w:rPr>
                <w:rFonts w:hint="eastAsia" w:asciiTheme="majorEastAsia" w:hAnsiTheme="majorEastAsia" w:eastAsiaTheme="majorEastAsia"/>
                <w:sz w:val="16"/>
                <w:szCs w:val="16"/>
              </w:rPr>
              <w:t>减少</w:t>
            </w:r>
            <w:r>
              <w:rPr>
                <w:rFonts w:asciiTheme="majorEastAsia" w:hAnsiTheme="majorEastAsia" w:eastAsiaTheme="majorEastAsia"/>
                <w:sz w:val="16"/>
                <w:szCs w:val="16"/>
              </w:rPr>
              <w:t>B</w:t>
            </w:r>
            <w:r>
              <w:rPr>
                <w:rFonts w:hint="eastAsia" w:asciiTheme="majorEastAsia" w:hAnsiTheme="majorEastAsia" w:eastAsiaTheme="majorEastAsia"/>
                <w:sz w:val="16"/>
                <w:szCs w:val="16"/>
              </w:rPr>
              <w:t>、C类项目</w:t>
            </w:r>
          </w:p>
        </w:tc>
        <w:tc>
          <w:tcPr>
            <w:tcW w:w="1368" w:type="dxa"/>
            <w:gridSpan w:val="2"/>
            <w:vMerge w:val="continue"/>
          </w:tcPr>
          <w:p w14:paraId="1853BE36">
            <w:pPr>
              <w:pStyle w:val="25"/>
              <w:ind w:firstLine="0" w:firstLineChars="0"/>
              <w:rPr>
                <w:rFonts w:asciiTheme="majorEastAsia" w:hAnsiTheme="majorEastAsia" w:eastAsiaTheme="majorEastAsia"/>
                <w:sz w:val="16"/>
                <w:szCs w:val="16"/>
              </w:rPr>
            </w:pPr>
          </w:p>
        </w:tc>
      </w:tr>
      <w:tr w14:paraId="200A29F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484" w:hRule="atLeast"/>
          <w:jc w:val="center"/>
        </w:trPr>
        <w:tc>
          <w:tcPr>
            <w:tcW w:w="1367" w:type="dxa"/>
            <w:vMerge w:val="continue"/>
            <w:vAlign w:val="center"/>
          </w:tcPr>
          <w:p w14:paraId="35F1A0F6">
            <w:pPr>
              <w:pStyle w:val="25"/>
              <w:ind w:firstLine="0" w:firstLineChars="0"/>
              <w:rPr>
                <w:rFonts w:asciiTheme="majorEastAsia" w:hAnsiTheme="majorEastAsia" w:eastAsiaTheme="majorEastAsia"/>
                <w:sz w:val="16"/>
                <w:szCs w:val="16"/>
              </w:rPr>
            </w:pPr>
          </w:p>
        </w:tc>
        <w:tc>
          <w:tcPr>
            <w:tcW w:w="1910" w:type="dxa"/>
            <w:vAlign w:val="center"/>
          </w:tcPr>
          <w:p w14:paraId="11B8D4D0">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w:t>
            </w:r>
          </w:p>
        </w:tc>
        <w:tc>
          <w:tcPr>
            <w:tcW w:w="819" w:type="dxa"/>
            <w:vMerge w:val="continue"/>
            <w:vAlign w:val="center"/>
          </w:tcPr>
          <w:p w14:paraId="7AC8E210">
            <w:pPr>
              <w:pStyle w:val="25"/>
              <w:ind w:firstLine="0" w:firstLineChars="0"/>
              <w:jc w:val="center"/>
              <w:rPr>
                <w:rFonts w:asciiTheme="majorEastAsia" w:hAnsiTheme="majorEastAsia" w:eastAsiaTheme="majorEastAsia"/>
                <w:sz w:val="16"/>
                <w:szCs w:val="16"/>
              </w:rPr>
            </w:pPr>
          </w:p>
        </w:tc>
        <w:tc>
          <w:tcPr>
            <w:tcW w:w="992" w:type="dxa"/>
            <w:vMerge w:val="continue"/>
            <w:vAlign w:val="center"/>
          </w:tcPr>
          <w:p w14:paraId="079569FD">
            <w:pPr>
              <w:pStyle w:val="25"/>
              <w:ind w:firstLine="0" w:firstLineChars="0"/>
              <w:rPr>
                <w:rFonts w:asciiTheme="majorEastAsia" w:hAnsiTheme="majorEastAsia" w:eastAsiaTheme="majorEastAsia"/>
                <w:sz w:val="16"/>
                <w:szCs w:val="16"/>
              </w:rPr>
            </w:pPr>
          </w:p>
        </w:tc>
        <w:tc>
          <w:tcPr>
            <w:tcW w:w="2291" w:type="dxa"/>
            <w:vAlign w:val="center"/>
          </w:tcPr>
          <w:p w14:paraId="0A0FD13A">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按6</w:t>
            </w:r>
            <w:r>
              <w:rPr>
                <w:rFonts w:asciiTheme="majorEastAsia" w:hAnsiTheme="majorEastAsia" w:eastAsiaTheme="majorEastAsia"/>
                <w:sz w:val="16"/>
                <w:szCs w:val="16"/>
              </w:rPr>
              <w:t>.2</w:t>
            </w:r>
            <w:r>
              <w:rPr>
                <w:rFonts w:hint="eastAsia" w:asciiTheme="majorEastAsia" w:hAnsiTheme="majorEastAsia" w:eastAsiaTheme="majorEastAsia"/>
                <w:sz w:val="16"/>
                <w:szCs w:val="16"/>
              </w:rPr>
              <w:t>表9.、表10.和表11.减少C类项目</w:t>
            </w:r>
          </w:p>
        </w:tc>
        <w:tc>
          <w:tcPr>
            <w:tcW w:w="1368" w:type="dxa"/>
            <w:gridSpan w:val="2"/>
            <w:vMerge w:val="continue"/>
          </w:tcPr>
          <w:p w14:paraId="1BDA4808">
            <w:pPr>
              <w:pStyle w:val="25"/>
              <w:ind w:firstLine="0" w:firstLineChars="0"/>
              <w:rPr>
                <w:rFonts w:asciiTheme="majorEastAsia" w:hAnsiTheme="majorEastAsia" w:eastAsiaTheme="majorEastAsia"/>
                <w:sz w:val="16"/>
                <w:szCs w:val="16"/>
              </w:rPr>
            </w:pPr>
          </w:p>
        </w:tc>
      </w:tr>
      <w:tr w14:paraId="622E497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473" w:hRule="atLeast"/>
          <w:jc w:val="center"/>
        </w:trPr>
        <w:tc>
          <w:tcPr>
            <w:tcW w:w="1367" w:type="dxa"/>
            <w:vMerge w:val="continue"/>
            <w:vAlign w:val="center"/>
          </w:tcPr>
          <w:p w14:paraId="40F867AF">
            <w:pPr>
              <w:pStyle w:val="25"/>
              <w:ind w:firstLine="320"/>
              <w:rPr>
                <w:rFonts w:asciiTheme="majorEastAsia" w:hAnsiTheme="majorEastAsia" w:eastAsiaTheme="majorEastAsia"/>
                <w:sz w:val="16"/>
                <w:szCs w:val="16"/>
              </w:rPr>
            </w:pPr>
          </w:p>
        </w:tc>
        <w:tc>
          <w:tcPr>
            <w:tcW w:w="1910" w:type="dxa"/>
            <w:vAlign w:val="center"/>
          </w:tcPr>
          <w:p w14:paraId="14AE6996">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w:t>
            </w:r>
          </w:p>
        </w:tc>
        <w:tc>
          <w:tcPr>
            <w:tcW w:w="819" w:type="dxa"/>
            <w:vAlign w:val="center"/>
          </w:tcPr>
          <w:p w14:paraId="02155E23">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良</w:t>
            </w:r>
          </w:p>
        </w:tc>
        <w:tc>
          <w:tcPr>
            <w:tcW w:w="992" w:type="dxa"/>
            <w:vAlign w:val="center"/>
          </w:tcPr>
          <w:p w14:paraId="08C91280">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常规</w:t>
            </w:r>
          </w:p>
        </w:tc>
        <w:tc>
          <w:tcPr>
            <w:tcW w:w="2291" w:type="dxa"/>
            <w:vAlign w:val="center"/>
          </w:tcPr>
          <w:p w14:paraId="24D76B4E">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按6</w:t>
            </w:r>
            <w:r>
              <w:rPr>
                <w:rFonts w:asciiTheme="majorEastAsia" w:hAnsiTheme="majorEastAsia" w:eastAsiaTheme="majorEastAsia"/>
                <w:sz w:val="16"/>
                <w:szCs w:val="16"/>
              </w:rPr>
              <w:t>.2</w:t>
            </w:r>
            <w:r>
              <w:rPr>
                <w:rFonts w:hint="eastAsia" w:asciiTheme="majorEastAsia" w:hAnsiTheme="majorEastAsia" w:eastAsiaTheme="majorEastAsia"/>
                <w:sz w:val="16"/>
                <w:szCs w:val="16"/>
              </w:rPr>
              <w:t>表9.、表10.和表11.项目</w:t>
            </w:r>
          </w:p>
        </w:tc>
        <w:tc>
          <w:tcPr>
            <w:tcW w:w="1368" w:type="dxa"/>
            <w:gridSpan w:val="2"/>
            <w:vMerge w:val="continue"/>
          </w:tcPr>
          <w:p w14:paraId="773C5FA6">
            <w:pPr>
              <w:pStyle w:val="25"/>
              <w:ind w:firstLine="0" w:firstLineChars="0"/>
              <w:rPr>
                <w:rFonts w:asciiTheme="majorEastAsia" w:hAnsiTheme="majorEastAsia" w:eastAsiaTheme="majorEastAsia"/>
                <w:sz w:val="16"/>
                <w:szCs w:val="16"/>
              </w:rPr>
            </w:pPr>
          </w:p>
        </w:tc>
      </w:tr>
      <w:tr w14:paraId="65369A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472" w:hRule="atLeast"/>
          <w:jc w:val="center"/>
        </w:trPr>
        <w:tc>
          <w:tcPr>
            <w:tcW w:w="1367" w:type="dxa"/>
            <w:vMerge w:val="continue"/>
            <w:vAlign w:val="center"/>
          </w:tcPr>
          <w:p w14:paraId="24C560E1">
            <w:pPr>
              <w:pStyle w:val="25"/>
              <w:ind w:firstLine="320"/>
              <w:rPr>
                <w:rFonts w:asciiTheme="majorEastAsia" w:hAnsiTheme="majorEastAsia" w:eastAsiaTheme="majorEastAsia"/>
                <w:sz w:val="16"/>
                <w:szCs w:val="16"/>
              </w:rPr>
            </w:pPr>
          </w:p>
        </w:tc>
        <w:tc>
          <w:tcPr>
            <w:tcW w:w="1910" w:type="dxa"/>
            <w:vAlign w:val="center"/>
          </w:tcPr>
          <w:p w14:paraId="43225AE0">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w:t>
            </w:r>
          </w:p>
        </w:tc>
        <w:tc>
          <w:tcPr>
            <w:tcW w:w="819" w:type="dxa"/>
            <w:vAlign w:val="center"/>
          </w:tcPr>
          <w:p w14:paraId="180513A0">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差</w:t>
            </w:r>
          </w:p>
        </w:tc>
        <w:tc>
          <w:tcPr>
            <w:tcW w:w="992" w:type="dxa"/>
            <w:vAlign w:val="center"/>
          </w:tcPr>
          <w:p w14:paraId="15CEA935">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加严</w:t>
            </w:r>
          </w:p>
        </w:tc>
        <w:tc>
          <w:tcPr>
            <w:tcW w:w="2291" w:type="dxa"/>
            <w:vAlign w:val="center"/>
          </w:tcPr>
          <w:p w14:paraId="343E260E">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按6</w:t>
            </w:r>
            <w:r>
              <w:rPr>
                <w:rFonts w:asciiTheme="majorEastAsia" w:hAnsiTheme="majorEastAsia" w:eastAsiaTheme="majorEastAsia"/>
                <w:sz w:val="16"/>
                <w:szCs w:val="16"/>
              </w:rPr>
              <w:t>.2</w:t>
            </w:r>
            <w:r>
              <w:rPr>
                <w:rFonts w:hint="eastAsia" w:asciiTheme="majorEastAsia" w:hAnsiTheme="majorEastAsia" w:eastAsiaTheme="majorEastAsia"/>
                <w:sz w:val="16"/>
                <w:szCs w:val="16"/>
              </w:rPr>
              <w:t>表9.、表10.和表11.增加可选项目</w:t>
            </w:r>
          </w:p>
        </w:tc>
        <w:tc>
          <w:tcPr>
            <w:tcW w:w="1368" w:type="dxa"/>
            <w:gridSpan w:val="2"/>
            <w:vMerge w:val="continue"/>
          </w:tcPr>
          <w:p w14:paraId="4F46ABB8">
            <w:pPr>
              <w:pStyle w:val="25"/>
              <w:ind w:firstLine="0" w:firstLineChars="0"/>
              <w:rPr>
                <w:rFonts w:asciiTheme="majorEastAsia" w:hAnsiTheme="majorEastAsia" w:eastAsiaTheme="majorEastAsia"/>
                <w:sz w:val="16"/>
                <w:szCs w:val="16"/>
              </w:rPr>
            </w:pPr>
          </w:p>
        </w:tc>
      </w:tr>
      <w:bookmarkEnd w:id="85"/>
    </w:tbl>
    <w:p w14:paraId="7ACCF0E5">
      <w:pPr>
        <w:pStyle w:val="25"/>
        <w:spacing w:before="156" w:beforeLines="50" w:after="156" w:afterLines="50"/>
        <w:ind w:firstLine="0" w:firstLineChars="0"/>
        <w:outlineLvl w:val="9"/>
        <w:rPr>
          <w:rFonts w:ascii="黑体" w:hAnsi="黑体" w:eastAsia="黑体"/>
        </w:rPr>
      </w:pPr>
      <w:r>
        <w:rPr>
          <w:rFonts w:hint="eastAsia" w:ascii="黑体" w:hAnsi="黑体" w:eastAsia="黑体"/>
        </w:rPr>
        <w:t>7</w:t>
      </w:r>
      <w:r>
        <w:rPr>
          <w:rFonts w:ascii="黑体" w:hAnsi="黑体" w:eastAsia="黑体"/>
        </w:rPr>
        <w:t>.2.2</w:t>
      </w:r>
      <w:r>
        <w:rPr>
          <w:rFonts w:hint="eastAsia" w:ascii="黑体" w:hAnsi="黑体" w:eastAsia="黑体"/>
        </w:rPr>
        <w:t>差异化抽检频次</w:t>
      </w:r>
    </w:p>
    <w:p w14:paraId="23427ED9">
      <w:pPr>
        <w:pStyle w:val="25"/>
      </w:pPr>
      <w:bookmarkStart w:id="86" w:name="_Hlk88402472"/>
      <w:r>
        <w:rPr>
          <w:rFonts w:hint="eastAsia"/>
        </w:rPr>
        <w:t>差异化抽检频次如表</w:t>
      </w:r>
      <w:r>
        <w:t>13.</w:t>
      </w:r>
      <w:r>
        <w:rPr>
          <w:rFonts w:hint="eastAsia"/>
        </w:rPr>
        <w:t>所示：</w:t>
      </w:r>
    </w:p>
    <w:p w14:paraId="490915D6">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表</w:t>
      </w:r>
      <w:r>
        <w:rPr>
          <w:rFonts w:ascii="黑体" w:hAnsi="黑体" w:eastAsia="黑体"/>
          <w:szCs w:val="21"/>
        </w:rPr>
        <w:t>13</w:t>
      </w:r>
      <w:r>
        <w:rPr>
          <w:rFonts w:ascii="黑体" w:hAnsi="黑体" w:eastAsia="黑体"/>
          <w:sz w:val="21"/>
          <w:szCs w:val="21"/>
        </w:rPr>
        <w:t>.</w:t>
      </w:r>
      <w:r>
        <w:rPr>
          <w:rFonts w:hint="eastAsia" w:ascii="黑体" w:hAnsi="黑体" w:eastAsia="黑体"/>
          <w:sz w:val="21"/>
          <w:szCs w:val="21"/>
        </w:rPr>
        <w:t>差异化抽检频次</w:t>
      </w:r>
    </w:p>
    <w:tbl>
      <w:tblPr>
        <w:tblStyle w:val="35"/>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1367"/>
        <w:gridCol w:w="1910"/>
        <w:gridCol w:w="819"/>
        <w:gridCol w:w="992"/>
        <w:gridCol w:w="2291"/>
        <w:gridCol w:w="8"/>
        <w:gridCol w:w="1360"/>
        <w:gridCol w:w="8"/>
      </w:tblGrid>
      <w:tr w14:paraId="2A1F0EA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367" w:type="dxa"/>
            <w:vAlign w:val="center"/>
          </w:tcPr>
          <w:p w14:paraId="7C9785C2">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物资品类</w:t>
            </w:r>
          </w:p>
        </w:tc>
        <w:tc>
          <w:tcPr>
            <w:tcW w:w="2729" w:type="dxa"/>
            <w:gridSpan w:val="2"/>
            <w:vAlign w:val="center"/>
          </w:tcPr>
          <w:p w14:paraId="5BF36D91">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质量评价等级</w:t>
            </w:r>
          </w:p>
        </w:tc>
        <w:tc>
          <w:tcPr>
            <w:tcW w:w="992" w:type="dxa"/>
            <w:vAlign w:val="center"/>
          </w:tcPr>
          <w:p w14:paraId="24BF4AE4">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抽检策略</w:t>
            </w:r>
          </w:p>
        </w:tc>
        <w:tc>
          <w:tcPr>
            <w:tcW w:w="2299" w:type="dxa"/>
            <w:gridSpan w:val="2"/>
            <w:vAlign w:val="center"/>
          </w:tcPr>
          <w:p w14:paraId="59A8BFEE">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差异化抽检频次</w:t>
            </w:r>
          </w:p>
        </w:tc>
        <w:tc>
          <w:tcPr>
            <w:tcW w:w="1368" w:type="dxa"/>
            <w:gridSpan w:val="2"/>
            <w:vAlign w:val="center"/>
          </w:tcPr>
          <w:p w14:paraId="39D7E2A8">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备注</w:t>
            </w:r>
          </w:p>
        </w:tc>
      </w:tr>
      <w:tr w14:paraId="50418C8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680" w:hRule="atLeast"/>
          <w:jc w:val="center"/>
        </w:trPr>
        <w:tc>
          <w:tcPr>
            <w:tcW w:w="1367" w:type="dxa"/>
            <w:vMerge w:val="restart"/>
            <w:vAlign w:val="center"/>
          </w:tcPr>
          <w:p w14:paraId="04825C1D">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10kV 交流电力电缆\10kV高压开关柜\10kV油浸式变压器</w:t>
            </w:r>
          </w:p>
        </w:tc>
        <w:tc>
          <w:tcPr>
            <w:tcW w:w="1910" w:type="dxa"/>
            <w:vAlign w:val="center"/>
          </w:tcPr>
          <w:p w14:paraId="18147B89">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最近连续三年均为</w:t>
            </w:r>
          </w:p>
        </w:tc>
        <w:tc>
          <w:tcPr>
            <w:tcW w:w="819" w:type="dxa"/>
            <w:vMerge w:val="restart"/>
            <w:vAlign w:val="center"/>
          </w:tcPr>
          <w:p w14:paraId="64D3F6AE">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优</w:t>
            </w:r>
          </w:p>
        </w:tc>
        <w:tc>
          <w:tcPr>
            <w:tcW w:w="992" w:type="dxa"/>
            <w:vMerge w:val="restart"/>
            <w:vAlign w:val="center"/>
          </w:tcPr>
          <w:p w14:paraId="32AB6F17">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宽松</w:t>
            </w:r>
          </w:p>
        </w:tc>
        <w:tc>
          <w:tcPr>
            <w:tcW w:w="2291" w:type="dxa"/>
            <w:vAlign w:val="center"/>
          </w:tcPr>
          <w:p w14:paraId="75D1A530">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2年内免检</w:t>
            </w:r>
          </w:p>
        </w:tc>
        <w:tc>
          <w:tcPr>
            <w:tcW w:w="1368" w:type="dxa"/>
            <w:gridSpan w:val="2"/>
            <w:vMerge w:val="restart"/>
          </w:tcPr>
          <w:p w14:paraId="06BB087E">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对于差异化抽检频次，各使用人可根据自身实际进行调整。当发现质量评价等级下降时，应相应调高抽检策略的等级。</w:t>
            </w:r>
          </w:p>
        </w:tc>
      </w:tr>
      <w:tr w14:paraId="5C14D75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680" w:hRule="atLeast"/>
          <w:jc w:val="center"/>
        </w:trPr>
        <w:tc>
          <w:tcPr>
            <w:tcW w:w="1367" w:type="dxa"/>
            <w:vMerge w:val="continue"/>
            <w:vAlign w:val="center"/>
          </w:tcPr>
          <w:p w14:paraId="7DB93789">
            <w:pPr>
              <w:pStyle w:val="25"/>
              <w:ind w:firstLine="0" w:firstLineChars="0"/>
              <w:rPr>
                <w:rFonts w:asciiTheme="majorEastAsia" w:hAnsiTheme="majorEastAsia" w:eastAsiaTheme="majorEastAsia"/>
                <w:sz w:val="16"/>
                <w:szCs w:val="16"/>
              </w:rPr>
            </w:pPr>
          </w:p>
        </w:tc>
        <w:tc>
          <w:tcPr>
            <w:tcW w:w="1910" w:type="dxa"/>
            <w:vAlign w:val="center"/>
          </w:tcPr>
          <w:p w14:paraId="459485D2">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最近连续两年均为</w:t>
            </w:r>
          </w:p>
        </w:tc>
        <w:tc>
          <w:tcPr>
            <w:tcW w:w="819" w:type="dxa"/>
            <w:vMerge w:val="continue"/>
            <w:vAlign w:val="center"/>
          </w:tcPr>
          <w:p w14:paraId="6DDE9749">
            <w:pPr>
              <w:pStyle w:val="25"/>
              <w:ind w:firstLine="0" w:firstLineChars="0"/>
              <w:jc w:val="center"/>
              <w:rPr>
                <w:rFonts w:asciiTheme="majorEastAsia" w:hAnsiTheme="majorEastAsia" w:eastAsiaTheme="majorEastAsia"/>
                <w:sz w:val="16"/>
                <w:szCs w:val="16"/>
              </w:rPr>
            </w:pPr>
          </w:p>
        </w:tc>
        <w:tc>
          <w:tcPr>
            <w:tcW w:w="992" w:type="dxa"/>
            <w:vMerge w:val="continue"/>
            <w:vAlign w:val="center"/>
          </w:tcPr>
          <w:p w14:paraId="0F5ECF19">
            <w:pPr>
              <w:pStyle w:val="25"/>
              <w:ind w:firstLine="0" w:firstLineChars="0"/>
              <w:rPr>
                <w:rFonts w:asciiTheme="majorEastAsia" w:hAnsiTheme="majorEastAsia" w:eastAsiaTheme="majorEastAsia"/>
                <w:sz w:val="16"/>
                <w:szCs w:val="16"/>
              </w:rPr>
            </w:pPr>
          </w:p>
        </w:tc>
        <w:tc>
          <w:tcPr>
            <w:tcW w:w="2291" w:type="dxa"/>
            <w:vAlign w:val="center"/>
          </w:tcPr>
          <w:p w14:paraId="433BA40F">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1批次/2年</w:t>
            </w:r>
          </w:p>
        </w:tc>
        <w:tc>
          <w:tcPr>
            <w:tcW w:w="1368" w:type="dxa"/>
            <w:gridSpan w:val="2"/>
            <w:vMerge w:val="continue"/>
          </w:tcPr>
          <w:p w14:paraId="6211B335">
            <w:pPr>
              <w:pStyle w:val="25"/>
              <w:ind w:firstLine="0" w:firstLineChars="0"/>
              <w:rPr>
                <w:rFonts w:asciiTheme="majorEastAsia" w:hAnsiTheme="majorEastAsia" w:eastAsiaTheme="majorEastAsia"/>
                <w:sz w:val="16"/>
                <w:szCs w:val="16"/>
              </w:rPr>
            </w:pPr>
          </w:p>
        </w:tc>
      </w:tr>
      <w:tr w14:paraId="3EC419F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680" w:hRule="atLeast"/>
          <w:jc w:val="center"/>
        </w:trPr>
        <w:tc>
          <w:tcPr>
            <w:tcW w:w="1367" w:type="dxa"/>
            <w:vMerge w:val="continue"/>
            <w:vAlign w:val="center"/>
          </w:tcPr>
          <w:p w14:paraId="2695EB57">
            <w:pPr>
              <w:pStyle w:val="25"/>
              <w:ind w:firstLine="0" w:firstLineChars="0"/>
              <w:rPr>
                <w:rFonts w:asciiTheme="majorEastAsia" w:hAnsiTheme="majorEastAsia" w:eastAsiaTheme="majorEastAsia"/>
                <w:sz w:val="16"/>
                <w:szCs w:val="16"/>
              </w:rPr>
            </w:pPr>
          </w:p>
        </w:tc>
        <w:tc>
          <w:tcPr>
            <w:tcW w:w="1910" w:type="dxa"/>
            <w:vAlign w:val="center"/>
          </w:tcPr>
          <w:p w14:paraId="60722E10">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w:t>
            </w:r>
          </w:p>
        </w:tc>
        <w:tc>
          <w:tcPr>
            <w:tcW w:w="819" w:type="dxa"/>
            <w:vMerge w:val="continue"/>
            <w:vAlign w:val="center"/>
          </w:tcPr>
          <w:p w14:paraId="175E0444">
            <w:pPr>
              <w:pStyle w:val="25"/>
              <w:ind w:firstLine="0" w:firstLineChars="0"/>
              <w:jc w:val="center"/>
              <w:rPr>
                <w:rFonts w:asciiTheme="majorEastAsia" w:hAnsiTheme="majorEastAsia" w:eastAsiaTheme="majorEastAsia"/>
                <w:sz w:val="16"/>
                <w:szCs w:val="16"/>
              </w:rPr>
            </w:pPr>
          </w:p>
        </w:tc>
        <w:tc>
          <w:tcPr>
            <w:tcW w:w="992" w:type="dxa"/>
            <w:vMerge w:val="continue"/>
            <w:vAlign w:val="center"/>
          </w:tcPr>
          <w:p w14:paraId="0CD66020">
            <w:pPr>
              <w:pStyle w:val="25"/>
              <w:ind w:firstLine="0" w:firstLineChars="0"/>
              <w:rPr>
                <w:rFonts w:asciiTheme="majorEastAsia" w:hAnsiTheme="majorEastAsia" w:eastAsiaTheme="majorEastAsia"/>
                <w:sz w:val="16"/>
                <w:szCs w:val="16"/>
              </w:rPr>
            </w:pPr>
          </w:p>
        </w:tc>
        <w:tc>
          <w:tcPr>
            <w:tcW w:w="2291" w:type="dxa"/>
            <w:vAlign w:val="center"/>
          </w:tcPr>
          <w:p w14:paraId="173260AD">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1批次/年</w:t>
            </w:r>
          </w:p>
        </w:tc>
        <w:tc>
          <w:tcPr>
            <w:tcW w:w="1368" w:type="dxa"/>
            <w:gridSpan w:val="2"/>
            <w:vMerge w:val="continue"/>
          </w:tcPr>
          <w:p w14:paraId="02B39768">
            <w:pPr>
              <w:pStyle w:val="25"/>
              <w:ind w:firstLine="0" w:firstLineChars="0"/>
              <w:rPr>
                <w:rFonts w:asciiTheme="majorEastAsia" w:hAnsiTheme="majorEastAsia" w:eastAsiaTheme="majorEastAsia"/>
                <w:sz w:val="16"/>
                <w:szCs w:val="16"/>
              </w:rPr>
            </w:pPr>
          </w:p>
        </w:tc>
      </w:tr>
      <w:tr w14:paraId="617636A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680" w:hRule="atLeast"/>
          <w:jc w:val="center"/>
        </w:trPr>
        <w:tc>
          <w:tcPr>
            <w:tcW w:w="1367" w:type="dxa"/>
            <w:vMerge w:val="continue"/>
            <w:vAlign w:val="center"/>
          </w:tcPr>
          <w:p w14:paraId="0425FB5F">
            <w:pPr>
              <w:pStyle w:val="25"/>
              <w:ind w:firstLine="320"/>
              <w:rPr>
                <w:rFonts w:asciiTheme="majorEastAsia" w:hAnsiTheme="majorEastAsia" w:eastAsiaTheme="majorEastAsia"/>
                <w:sz w:val="16"/>
                <w:szCs w:val="16"/>
              </w:rPr>
            </w:pPr>
          </w:p>
        </w:tc>
        <w:tc>
          <w:tcPr>
            <w:tcW w:w="1910" w:type="dxa"/>
            <w:vAlign w:val="center"/>
          </w:tcPr>
          <w:p w14:paraId="40292AAD">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w:t>
            </w:r>
          </w:p>
        </w:tc>
        <w:tc>
          <w:tcPr>
            <w:tcW w:w="819" w:type="dxa"/>
            <w:vAlign w:val="center"/>
          </w:tcPr>
          <w:p w14:paraId="06570D69">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良</w:t>
            </w:r>
          </w:p>
        </w:tc>
        <w:tc>
          <w:tcPr>
            <w:tcW w:w="992" w:type="dxa"/>
            <w:vAlign w:val="center"/>
          </w:tcPr>
          <w:p w14:paraId="54AA3176">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常规</w:t>
            </w:r>
          </w:p>
        </w:tc>
        <w:tc>
          <w:tcPr>
            <w:tcW w:w="2291" w:type="dxa"/>
            <w:vAlign w:val="center"/>
          </w:tcPr>
          <w:p w14:paraId="20385E2D">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1次/批</w:t>
            </w:r>
          </w:p>
        </w:tc>
        <w:tc>
          <w:tcPr>
            <w:tcW w:w="1368" w:type="dxa"/>
            <w:gridSpan w:val="2"/>
            <w:vMerge w:val="continue"/>
          </w:tcPr>
          <w:p w14:paraId="2D81A3D0">
            <w:pPr>
              <w:pStyle w:val="25"/>
              <w:ind w:firstLine="0" w:firstLineChars="0"/>
              <w:rPr>
                <w:rFonts w:asciiTheme="majorEastAsia" w:hAnsiTheme="majorEastAsia" w:eastAsiaTheme="majorEastAsia"/>
                <w:sz w:val="16"/>
                <w:szCs w:val="16"/>
              </w:rPr>
            </w:pPr>
          </w:p>
        </w:tc>
      </w:tr>
      <w:tr w14:paraId="740FE7C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680" w:hRule="atLeast"/>
          <w:jc w:val="center"/>
        </w:trPr>
        <w:tc>
          <w:tcPr>
            <w:tcW w:w="1367" w:type="dxa"/>
            <w:vMerge w:val="continue"/>
            <w:vAlign w:val="center"/>
          </w:tcPr>
          <w:p w14:paraId="0F1AB70D">
            <w:pPr>
              <w:pStyle w:val="25"/>
              <w:ind w:firstLine="320"/>
              <w:rPr>
                <w:rFonts w:asciiTheme="majorEastAsia" w:hAnsiTheme="majorEastAsia" w:eastAsiaTheme="majorEastAsia"/>
                <w:sz w:val="16"/>
                <w:szCs w:val="16"/>
              </w:rPr>
            </w:pPr>
          </w:p>
        </w:tc>
        <w:tc>
          <w:tcPr>
            <w:tcW w:w="1910" w:type="dxa"/>
            <w:vAlign w:val="center"/>
          </w:tcPr>
          <w:p w14:paraId="0EED2B2B">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w:t>
            </w:r>
          </w:p>
        </w:tc>
        <w:tc>
          <w:tcPr>
            <w:tcW w:w="819" w:type="dxa"/>
            <w:vAlign w:val="center"/>
          </w:tcPr>
          <w:p w14:paraId="3B9DC200">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差</w:t>
            </w:r>
          </w:p>
        </w:tc>
        <w:tc>
          <w:tcPr>
            <w:tcW w:w="992" w:type="dxa"/>
            <w:vAlign w:val="center"/>
          </w:tcPr>
          <w:p w14:paraId="2E284860">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加严</w:t>
            </w:r>
          </w:p>
        </w:tc>
        <w:tc>
          <w:tcPr>
            <w:tcW w:w="2291" w:type="dxa"/>
            <w:vAlign w:val="center"/>
          </w:tcPr>
          <w:p w14:paraId="5A6D6490">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1次/批，同时增加监造、飞行检查、目证试验等品控手段。</w:t>
            </w:r>
          </w:p>
        </w:tc>
        <w:tc>
          <w:tcPr>
            <w:tcW w:w="1368" w:type="dxa"/>
            <w:gridSpan w:val="2"/>
            <w:vMerge w:val="continue"/>
          </w:tcPr>
          <w:p w14:paraId="31B7D26A">
            <w:pPr>
              <w:pStyle w:val="25"/>
              <w:ind w:firstLine="0" w:firstLineChars="0"/>
              <w:rPr>
                <w:rFonts w:asciiTheme="majorEastAsia" w:hAnsiTheme="majorEastAsia" w:eastAsiaTheme="majorEastAsia"/>
                <w:sz w:val="16"/>
                <w:szCs w:val="16"/>
              </w:rPr>
            </w:pPr>
          </w:p>
        </w:tc>
      </w:tr>
      <w:bookmarkEnd w:id="86"/>
    </w:tbl>
    <w:p w14:paraId="213B8AC5">
      <w:pPr>
        <w:pStyle w:val="25"/>
        <w:spacing w:before="156" w:beforeLines="50" w:after="156" w:afterLines="50"/>
        <w:ind w:firstLine="0" w:firstLineChars="0"/>
        <w:outlineLvl w:val="9"/>
        <w:rPr>
          <w:rFonts w:ascii="黑体" w:hAnsi="黑体" w:eastAsia="黑体"/>
        </w:rPr>
      </w:pPr>
      <w:r>
        <w:rPr>
          <w:rFonts w:hint="eastAsia" w:ascii="黑体" w:hAnsi="黑体" w:eastAsia="黑体"/>
        </w:rPr>
        <w:t>7</w:t>
      </w:r>
      <w:r>
        <w:rPr>
          <w:rFonts w:ascii="黑体" w:hAnsi="黑体" w:eastAsia="黑体"/>
        </w:rPr>
        <w:t>.2.3</w:t>
      </w:r>
      <w:r>
        <w:rPr>
          <w:rFonts w:hint="eastAsia" w:ascii="黑体" w:hAnsi="黑体" w:eastAsia="黑体"/>
        </w:rPr>
        <w:t>差异化抽检数量</w:t>
      </w:r>
    </w:p>
    <w:p w14:paraId="04477A84">
      <w:pPr>
        <w:pStyle w:val="25"/>
      </w:pPr>
      <w:r>
        <w:rPr>
          <w:rFonts w:hint="eastAsia"/>
        </w:rPr>
        <w:t>差异化抽检数量如表</w:t>
      </w:r>
      <w:r>
        <w:t>14.</w:t>
      </w:r>
      <w:r>
        <w:rPr>
          <w:rFonts w:hint="eastAsia"/>
        </w:rPr>
        <w:t>所示：</w:t>
      </w:r>
    </w:p>
    <w:p w14:paraId="4533D05A">
      <w:pPr>
        <w:pStyle w:val="25"/>
        <w:spacing w:after="156" w:afterLines="50"/>
        <w:ind w:firstLine="0" w:firstLineChars="0"/>
        <w:jc w:val="center"/>
        <w:rPr>
          <w:rFonts w:ascii="黑体" w:hAnsi="黑体" w:eastAsia="黑体"/>
          <w:sz w:val="18"/>
          <w:szCs w:val="18"/>
        </w:rPr>
      </w:pPr>
    </w:p>
    <w:p w14:paraId="6FCCE196">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表</w:t>
      </w:r>
      <w:r>
        <w:rPr>
          <w:rFonts w:ascii="黑体" w:hAnsi="黑体" w:eastAsia="黑体"/>
          <w:szCs w:val="21"/>
        </w:rPr>
        <w:t>14</w:t>
      </w:r>
      <w:r>
        <w:rPr>
          <w:rFonts w:ascii="黑体" w:hAnsi="黑体" w:eastAsia="黑体"/>
          <w:sz w:val="21"/>
          <w:szCs w:val="21"/>
        </w:rPr>
        <w:t>.</w:t>
      </w:r>
      <w:r>
        <w:rPr>
          <w:rFonts w:hint="eastAsia" w:ascii="黑体" w:hAnsi="黑体" w:eastAsia="黑体"/>
          <w:sz w:val="21"/>
          <w:szCs w:val="21"/>
        </w:rPr>
        <w:t>差异化抽检数量</w:t>
      </w:r>
    </w:p>
    <w:tbl>
      <w:tblPr>
        <w:tblStyle w:val="35"/>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108" w:type="dxa"/>
          <w:bottom w:w="0" w:type="dxa"/>
          <w:right w:w="108" w:type="dxa"/>
        </w:tblCellMar>
      </w:tblPr>
      <w:tblGrid>
        <w:gridCol w:w="1367"/>
        <w:gridCol w:w="1910"/>
        <w:gridCol w:w="819"/>
        <w:gridCol w:w="992"/>
        <w:gridCol w:w="2291"/>
        <w:gridCol w:w="8"/>
        <w:gridCol w:w="1360"/>
        <w:gridCol w:w="8"/>
      </w:tblGrid>
      <w:tr w14:paraId="47F8516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11" w:hRule="atLeast"/>
          <w:jc w:val="center"/>
        </w:trPr>
        <w:tc>
          <w:tcPr>
            <w:tcW w:w="1367" w:type="dxa"/>
            <w:vAlign w:val="center"/>
          </w:tcPr>
          <w:p w14:paraId="21F72FFB">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物资品类</w:t>
            </w:r>
          </w:p>
        </w:tc>
        <w:tc>
          <w:tcPr>
            <w:tcW w:w="2729" w:type="dxa"/>
            <w:gridSpan w:val="2"/>
            <w:vAlign w:val="center"/>
          </w:tcPr>
          <w:p w14:paraId="22F866A9">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质量评价等级</w:t>
            </w:r>
          </w:p>
        </w:tc>
        <w:tc>
          <w:tcPr>
            <w:tcW w:w="992" w:type="dxa"/>
            <w:vAlign w:val="center"/>
          </w:tcPr>
          <w:p w14:paraId="2E8716E5">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抽检策略</w:t>
            </w:r>
          </w:p>
        </w:tc>
        <w:tc>
          <w:tcPr>
            <w:tcW w:w="2299" w:type="dxa"/>
            <w:gridSpan w:val="2"/>
            <w:vAlign w:val="center"/>
          </w:tcPr>
          <w:p w14:paraId="0F861D32">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差异化抽检数量</w:t>
            </w:r>
          </w:p>
        </w:tc>
        <w:tc>
          <w:tcPr>
            <w:tcW w:w="1368" w:type="dxa"/>
            <w:gridSpan w:val="2"/>
            <w:vAlign w:val="center"/>
          </w:tcPr>
          <w:p w14:paraId="271ABE03">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备注</w:t>
            </w:r>
          </w:p>
        </w:tc>
      </w:tr>
      <w:tr w14:paraId="08F6344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547" w:hRule="atLeast"/>
          <w:jc w:val="center"/>
        </w:trPr>
        <w:tc>
          <w:tcPr>
            <w:tcW w:w="1367" w:type="dxa"/>
            <w:vMerge w:val="restart"/>
            <w:vAlign w:val="center"/>
          </w:tcPr>
          <w:p w14:paraId="1C58C8B9">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10kV 交流电力电缆\10kV高压开关柜\10kV油浸式变压器</w:t>
            </w:r>
          </w:p>
        </w:tc>
        <w:tc>
          <w:tcPr>
            <w:tcW w:w="1910" w:type="dxa"/>
            <w:vAlign w:val="center"/>
          </w:tcPr>
          <w:p w14:paraId="151919EE">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最近连续三年均为</w:t>
            </w:r>
          </w:p>
        </w:tc>
        <w:tc>
          <w:tcPr>
            <w:tcW w:w="819" w:type="dxa"/>
            <w:vMerge w:val="restart"/>
            <w:vAlign w:val="center"/>
          </w:tcPr>
          <w:p w14:paraId="7F048631">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优</w:t>
            </w:r>
          </w:p>
        </w:tc>
        <w:tc>
          <w:tcPr>
            <w:tcW w:w="992" w:type="dxa"/>
            <w:vMerge w:val="restart"/>
            <w:vAlign w:val="center"/>
          </w:tcPr>
          <w:p w14:paraId="6B9CF19F">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宽松</w:t>
            </w:r>
          </w:p>
        </w:tc>
        <w:tc>
          <w:tcPr>
            <w:tcW w:w="2291" w:type="dxa"/>
            <w:vAlign w:val="center"/>
          </w:tcPr>
          <w:p w14:paraId="7EEE4948">
            <w:pPr>
              <w:pStyle w:val="25"/>
              <w:ind w:firstLine="0" w:firstLineChars="0"/>
              <w:rPr>
                <w:rFonts w:asciiTheme="majorEastAsia" w:hAnsiTheme="majorEastAsia" w:eastAsiaTheme="majorEastAsia"/>
                <w:sz w:val="16"/>
                <w:szCs w:val="16"/>
              </w:rPr>
            </w:pPr>
            <w:r>
              <w:rPr>
                <w:rFonts w:asciiTheme="majorEastAsia" w:hAnsiTheme="majorEastAsia" w:eastAsiaTheme="majorEastAsia"/>
                <w:sz w:val="16"/>
                <w:szCs w:val="16"/>
              </w:rPr>
              <w:t>2</w:t>
            </w:r>
            <w:r>
              <w:rPr>
                <w:rFonts w:hint="eastAsia" w:asciiTheme="majorEastAsia" w:hAnsiTheme="majorEastAsia" w:eastAsiaTheme="majorEastAsia"/>
                <w:sz w:val="16"/>
                <w:szCs w:val="16"/>
              </w:rPr>
              <w:t>年内免检</w:t>
            </w:r>
          </w:p>
        </w:tc>
        <w:tc>
          <w:tcPr>
            <w:tcW w:w="1368" w:type="dxa"/>
            <w:gridSpan w:val="2"/>
            <w:vMerge w:val="restart"/>
          </w:tcPr>
          <w:p w14:paraId="167E5E59">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对于差异化抽检数量，各使用人可根据自身实际进行调整。当发现质量评价等级下降时，应相应调高抽检策略的等级。</w:t>
            </w:r>
          </w:p>
        </w:tc>
      </w:tr>
      <w:tr w14:paraId="350F81D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522" w:hRule="atLeast"/>
          <w:jc w:val="center"/>
        </w:trPr>
        <w:tc>
          <w:tcPr>
            <w:tcW w:w="1367" w:type="dxa"/>
            <w:vMerge w:val="continue"/>
            <w:vAlign w:val="center"/>
          </w:tcPr>
          <w:p w14:paraId="6841621C">
            <w:pPr>
              <w:pStyle w:val="25"/>
              <w:ind w:firstLine="0" w:firstLineChars="0"/>
              <w:rPr>
                <w:rFonts w:asciiTheme="majorEastAsia" w:hAnsiTheme="majorEastAsia" w:eastAsiaTheme="majorEastAsia"/>
                <w:sz w:val="16"/>
                <w:szCs w:val="16"/>
              </w:rPr>
            </w:pPr>
          </w:p>
        </w:tc>
        <w:tc>
          <w:tcPr>
            <w:tcW w:w="1910" w:type="dxa"/>
            <w:vAlign w:val="center"/>
          </w:tcPr>
          <w:p w14:paraId="2F5DBAD8">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最近连续两年均为</w:t>
            </w:r>
          </w:p>
        </w:tc>
        <w:tc>
          <w:tcPr>
            <w:tcW w:w="819" w:type="dxa"/>
            <w:vMerge w:val="continue"/>
            <w:vAlign w:val="center"/>
          </w:tcPr>
          <w:p w14:paraId="39D5AECF">
            <w:pPr>
              <w:pStyle w:val="25"/>
              <w:ind w:firstLine="0" w:firstLineChars="0"/>
              <w:jc w:val="center"/>
              <w:rPr>
                <w:rFonts w:asciiTheme="majorEastAsia" w:hAnsiTheme="majorEastAsia" w:eastAsiaTheme="majorEastAsia"/>
                <w:sz w:val="16"/>
                <w:szCs w:val="16"/>
              </w:rPr>
            </w:pPr>
          </w:p>
        </w:tc>
        <w:tc>
          <w:tcPr>
            <w:tcW w:w="992" w:type="dxa"/>
            <w:vMerge w:val="continue"/>
            <w:vAlign w:val="center"/>
          </w:tcPr>
          <w:p w14:paraId="55A019D5">
            <w:pPr>
              <w:pStyle w:val="25"/>
              <w:ind w:firstLine="0" w:firstLineChars="0"/>
              <w:rPr>
                <w:rFonts w:asciiTheme="majorEastAsia" w:hAnsiTheme="majorEastAsia" w:eastAsiaTheme="majorEastAsia"/>
                <w:sz w:val="16"/>
                <w:szCs w:val="16"/>
              </w:rPr>
            </w:pPr>
          </w:p>
        </w:tc>
        <w:tc>
          <w:tcPr>
            <w:tcW w:w="2291" w:type="dxa"/>
            <w:vAlign w:val="center"/>
          </w:tcPr>
          <w:p w14:paraId="7A0BEA06">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多规格随机抽取1台/2年</w:t>
            </w:r>
          </w:p>
        </w:tc>
        <w:tc>
          <w:tcPr>
            <w:tcW w:w="1368" w:type="dxa"/>
            <w:gridSpan w:val="2"/>
            <w:vMerge w:val="continue"/>
          </w:tcPr>
          <w:p w14:paraId="361DECBB">
            <w:pPr>
              <w:pStyle w:val="25"/>
              <w:ind w:firstLine="0" w:firstLineChars="0"/>
              <w:rPr>
                <w:rFonts w:asciiTheme="majorEastAsia" w:hAnsiTheme="majorEastAsia" w:eastAsiaTheme="majorEastAsia"/>
                <w:sz w:val="16"/>
                <w:szCs w:val="16"/>
              </w:rPr>
            </w:pPr>
          </w:p>
        </w:tc>
      </w:tr>
      <w:tr w14:paraId="2B1A574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484" w:hRule="atLeast"/>
          <w:jc w:val="center"/>
        </w:trPr>
        <w:tc>
          <w:tcPr>
            <w:tcW w:w="1367" w:type="dxa"/>
            <w:vMerge w:val="continue"/>
            <w:vAlign w:val="center"/>
          </w:tcPr>
          <w:p w14:paraId="2EF5395A">
            <w:pPr>
              <w:pStyle w:val="25"/>
              <w:ind w:firstLine="0" w:firstLineChars="0"/>
              <w:rPr>
                <w:rFonts w:asciiTheme="majorEastAsia" w:hAnsiTheme="majorEastAsia" w:eastAsiaTheme="majorEastAsia"/>
                <w:sz w:val="16"/>
                <w:szCs w:val="16"/>
              </w:rPr>
            </w:pPr>
          </w:p>
        </w:tc>
        <w:tc>
          <w:tcPr>
            <w:tcW w:w="1910" w:type="dxa"/>
            <w:vAlign w:val="center"/>
          </w:tcPr>
          <w:p w14:paraId="10A5EB2B">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w:t>
            </w:r>
          </w:p>
        </w:tc>
        <w:tc>
          <w:tcPr>
            <w:tcW w:w="819" w:type="dxa"/>
            <w:vMerge w:val="continue"/>
            <w:vAlign w:val="center"/>
          </w:tcPr>
          <w:p w14:paraId="483B904F">
            <w:pPr>
              <w:pStyle w:val="25"/>
              <w:ind w:firstLine="0" w:firstLineChars="0"/>
              <w:jc w:val="center"/>
              <w:rPr>
                <w:rFonts w:asciiTheme="majorEastAsia" w:hAnsiTheme="majorEastAsia" w:eastAsiaTheme="majorEastAsia"/>
                <w:sz w:val="16"/>
                <w:szCs w:val="16"/>
              </w:rPr>
            </w:pPr>
          </w:p>
        </w:tc>
        <w:tc>
          <w:tcPr>
            <w:tcW w:w="992" w:type="dxa"/>
            <w:vMerge w:val="continue"/>
            <w:vAlign w:val="center"/>
          </w:tcPr>
          <w:p w14:paraId="301C0FAD">
            <w:pPr>
              <w:pStyle w:val="25"/>
              <w:ind w:firstLine="0" w:firstLineChars="0"/>
              <w:rPr>
                <w:rFonts w:asciiTheme="majorEastAsia" w:hAnsiTheme="majorEastAsia" w:eastAsiaTheme="majorEastAsia"/>
                <w:sz w:val="16"/>
                <w:szCs w:val="16"/>
              </w:rPr>
            </w:pPr>
          </w:p>
        </w:tc>
        <w:tc>
          <w:tcPr>
            <w:tcW w:w="2291" w:type="dxa"/>
            <w:vAlign w:val="center"/>
          </w:tcPr>
          <w:p w14:paraId="3F9225AE">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多规格随机抽取1台/年</w:t>
            </w:r>
          </w:p>
        </w:tc>
        <w:tc>
          <w:tcPr>
            <w:tcW w:w="1368" w:type="dxa"/>
            <w:gridSpan w:val="2"/>
            <w:vMerge w:val="continue"/>
          </w:tcPr>
          <w:p w14:paraId="64BC6923">
            <w:pPr>
              <w:pStyle w:val="25"/>
              <w:ind w:firstLine="0" w:firstLineChars="0"/>
              <w:rPr>
                <w:rFonts w:asciiTheme="majorEastAsia" w:hAnsiTheme="majorEastAsia" w:eastAsiaTheme="majorEastAsia"/>
                <w:sz w:val="16"/>
                <w:szCs w:val="16"/>
              </w:rPr>
            </w:pPr>
          </w:p>
        </w:tc>
      </w:tr>
      <w:tr w14:paraId="47E627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473" w:hRule="atLeast"/>
          <w:jc w:val="center"/>
        </w:trPr>
        <w:tc>
          <w:tcPr>
            <w:tcW w:w="1367" w:type="dxa"/>
            <w:vMerge w:val="continue"/>
            <w:vAlign w:val="center"/>
          </w:tcPr>
          <w:p w14:paraId="2C9235E7">
            <w:pPr>
              <w:pStyle w:val="25"/>
              <w:ind w:firstLine="320"/>
              <w:rPr>
                <w:rFonts w:asciiTheme="majorEastAsia" w:hAnsiTheme="majorEastAsia" w:eastAsiaTheme="majorEastAsia"/>
                <w:sz w:val="16"/>
                <w:szCs w:val="16"/>
              </w:rPr>
            </w:pPr>
          </w:p>
        </w:tc>
        <w:tc>
          <w:tcPr>
            <w:tcW w:w="1910" w:type="dxa"/>
            <w:vAlign w:val="center"/>
          </w:tcPr>
          <w:p w14:paraId="002A97DE">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w:t>
            </w:r>
          </w:p>
        </w:tc>
        <w:tc>
          <w:tcPr>
            <w:tcW w:w="819" w:type="dxa"/>
            <w:vAlign w:val="center"/>
          </w:tcPr>
          <w:p w14:paraId="7D10D4EB">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良</w:t>
            </w:r>
          </w:p>
        </w:tc>
        <w:tc>
          <w:tcPr>
            <w:tcW w:w="992" w:type="dxa"/>
            <w:vAlign w:val="center"/>
          </w:tcPr>
          <w:p w14:paraId="09C54133">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常规</w:t>
            </w:r>
          </w:p>
        </w:tc>
        <w:tc>
          <w:tcPr>
            <w:tcW w:w="2291" w:type="dxa"/>
            <w:vAlign w:val="center"/>
          </w:tcPr>
          <w:p w14:paraId="6F62ECC2">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每规格随机抽取1台/年</w:t>
            </w:r>
          </w:p>
        </w:tc>
        <w:tc>
          <w:tcPr>
            <w:tcW w:w="1368" w:type="dxa"/>
            <w:gridSpan w:val="2"/>
            <w:vMerge w:val="continue"/>
          </w:tcPr>
          <w:p w14:paraId="4121C743">
            <w:pPr>
              <w:pStyle w:val="25"/>
              <w:ind w:firstLine="0" w:firstLineChars="0"/>
              <w:rPr>
                <w:rFonts w:asciiTheme="majorEastAsia" w:hAnsiTheme="majorEastAsia" w:eastAsiaTheme="majorEastAsia"/>
                <w:sz w:val="16"/>
                <w:szCs w:val="16"/>
              </w:rPr>
            </w:pPr>
          </w:p>
        </w:tc>
      </w:tr>
      <w:tr w14:paraId="6B41B1F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gridAfter w:val="1"/>
          <w:wAfter w:w="8" w:type="dxa"/>
          <w:trHeight w:val="472" w:hRule="atLeast"/>
          <w:jc w:val="center"/>
        </w:trPr>
        <w:tc>
          <w:tcPr>
            <w:tcW w:w="1367" w:type="dxa"/>
            <w:vMerge w:val="continue"/>
            <w:vAlign w:val="center"/>
          </w:tcPr>
          <w:p w14:paraId="638D5650">
            <w:pPr>
              <w:pStyle w:val="25"/>
              <w:ind w:firstLine="320"/>
              <w:rPr>
                <w:rFonts w:asciiTheme="majorEastAsia" w:hAnsiTheme="majorEastAsia" w:eastAsiaTheme="majorEastAsia"/>
                <w:sz w:val="16"/>
                <w:szCs w:val="16"/>
              </w:rPr>
            </w:pPr>
          </w:p>
        </w:tc>
        <w:tc>
          <w:tcPr>
            <w:tcW w:w="1910" w:type="dxa"/>
            <w:vAlign w:val="center"/>
          </w:tcPr>
          <w:p w14:paraId="403530ED">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w:t>
            </w:r>
          </w:p>
        </w:tc>
        <w:tc>
          <w:tcPr>
            <w:tcW w:w="819" w:type="dxa"/>
            <w:vAlign w:val="center"/>
          </w:tcPr>
          <w:p w14:paraId="53A2C339">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差</w:t>
            </w:r>
          </w:p>
        </w:tc>
        <w:tc>
          <w:tcPr>
            <w:tcW w:w="992" w:type="dxa"/>
            <w:vAlign w:val="center"/>
          </w:tcPr>
          <w:p w14:paraId="2628345B">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加严</w:t>
            </w:r>
          </w:p>
        </w:tc>
        <w:tc>
          <w:tcPr>
            <w:tcW w:w="2291" w:type="dxa"/>
            <w:vAlign w:val="center"/>
          </w:tcPr>
          <w:p w14:paraId="6F6D47F2">
            <w:pPr>
              <w:pStyle w:val="25"/>
              <w:ind w:firstLine="0" w:firstLineChars="0"/>
              <w:rPr>
                <w:rFonts w:asciiTheme="majorEastAsia" w:hAnsiTheme="majorEastAsia" w:eastAsiaTheme="majorEastAsia"/>
                <w:sz w:val="16"/>
                <w:szCs w:val="16"/>
              </w:rPr>
            </w:pPr>
            <w:r>
              <w:rPr>
                <w:rFonts w:hint="eastAsia" w:asciiTheme="majorEastAsia" w:hAnsiTheme="majorEastAsia" w:eastAsiaTheme="majorEastAsia"/>
                <w:sz w:val="16"/>
                <w:szCs w:val="16"/>
              </w:rPr>
              <w:t>每规格随机抽取</w:t>
            </w:r>
            <w:r>
              <w:rPr>
                <w:rFonts w:asciiTheme="majorEastAsia" w:hAnsiTheme="majorEastAsia" w:eastAsiaTheme="majorEastAsia"/>
                <w:sz w:val="16"/>
                <w:szCs w:val="16"/>
              </w:rPr>
              <w:t>2</w:t>
            </w:r>
            <w:r>
              <w:rPr>
                <w:rFonts w:hint="eastAsia" w:asciiTheme="majorEastAsia" w:hAnsiTheme="majorEastAsia" w:eastAsiaTheme="majorEastAsia"/>
                <w:sz w:val="16"/>
                <w:szCs w:val="16"/>
              </w:rPr>
              <w:t>台/年</w:t>
            </w:r>
          </w:p>
        </w:tc>
        <w:tc>
          <w:tcPr>
            <w:tcW w:w="1368" w:type="dxa"/>
            <w:gridSpan w:val="2"/>
            <w:vMerge w:val="continue"/>
          </w:tcPr>
          <w:p w14:paraId="4E6DF44B">
            <w:pPr>
              <w:pStyle w:val="25"/>
              <w:ind w:firstLine="0" w:firstLineChars="0"/>
              <w:rPr>
                <w:rFonts w:asciiTheme="majorEastAsia" w:hAnsiTheme="majorEastAsia" w:eastAsiaTheme="majorEastAsia"/>
                <w:sz w:val="16"/>
                <w:szCs w:val="16"/>
              </w:rPr>
            </w:pPr>
          </w:p>
        </w:tc>
      </w:tr>
    </w:tbl>
    <w:p w14:paraId="52545C71">
      <w:pPr>
        <w:pStyle w:val="45"/>
        <w:spacing w:before="312" w:after="312"/>
        <w:ind w:left="0"/>
        <w:outlineLvl w:val="0"/>
      </w:pPr>
      <w:bookmarkStart w:id="87" w:name="_Hlk88406126"/>
      <w:bookmarkStart w:id="88" w:name="_Toc102557406"/>
      <w:r>
        <w:rPr>
          <w:rFonts w:hint="eastAsia"/>
        </w:rPr>
        <w:t>差异化匹配准则</w:t>
      </w:r>
      <w:bookmarkEnd w:id="87"/>
      <w:bookmarkEnd w:id="88"/>
    </w:p>
    <w:p w14:paraId="096B387D">
      <w:pPr>
        <w:pStyle w:val="25"/>
        <w:spacing w:after="156" w:afterLines="50"/>
      </w:pPr>
      <w:r>
        <w:rPr>
          <w:rFonts w:hint="eastAsia"/>
        </w:rPr>
        <w:t>指设备质量评价信息库与选择适用的设备到货抽检方案（物资品类、供应商、抽检数量、频次和检测项目等一一对应）的规则。如表</w:t>
      </w:r>
      <w:r>
        <w:t>15.</w:t>
      </w:r>
      <w:r>
        <w:rPr>
          <w:rFonts w:hint="eastAsia"/>
        </w:rPr>
        <w:t>所示：</w:t>
      </w:r>
    </w:p>
    <w:p w14:paraId="7162DA4A">
      <w:pPr>
        <w:pStyle w:val="25"/>
        <w:spacing w:before="156" w:beforeLines="50" w:after="156" w:afterLines="50"/>
        <w:ind w:firstLine="0" w:firstLineChars="0"/>
        <w:jc w:val="center"/>
        <w:rPr>
          <w:rFonts w:ascii="黑体" w:hAnsi="黑体" w:eastAsia="黑体"/>
          <w:sz w:val="21"/>
          <w:szCs w:val="21"/>
        </w:rPr>
      </w:pPr>
      <w:r>
        <w:rPr>
          <w:rFonts w:hint="eastAsia" w:ascii="黑体" w:hAnsi="黑体" w:eastAsia="黑体"/>
          <w:sz w:val="21"/>
          <w:szCs w:val="21"/>
        </w:rPr>
        <w:t>表</w:t>
      </w:r>
      <w:r>
        <w:rPr>
          <w:rFonts w:ascii="黑体" w:hAnsi="黑体" w:eastAsia="黑体"/>
          <w:szCs w:val="21"/>
        </w:rPr>
        <w:t>15</w:t>
      </w:r>
      <w:r>
        <w:rPr>
          <w:rFonts w:ascii="黑体" w:hAnsi="黑体" w:eastAsia="黑体"/>
          <w:sz w:val="21"/>
          <w:szCs w:val="21"/>
        </w:rPr>
        <w:t>.</w:t>
      </w:r>
      <w:r>
        <w:rPr>
          <w:rFonts w:hint="eastAsia" w:ascii="黑体" w:hAnsi="黑体" w:eastAsia="黑体"/>
          <w:sz w:val="21"/>
          <w:szCs w:val="21"/>
        </w:rPr>
        <w:t>差异化匹配准则</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00"/>
        <w:gridCol w:w="1918"/>
        <w:gridCol w:w="1101"/>
        <w:gridCol w:w="1092"/>
        <w:gridCol w:w="9"/>
        <w:gridCol w:w="1125"/>
        <w:gridCol w:w="9"/>
        <w:gridCol w:w="1197"/>
      </w:tblGrid>
      <w:tr w14:paraId="1FCD7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3118" w:type="dxa"/>
            <w:gridSpan w:val="2"/>
            <w:tcBorders>
              <w:top w:val="single" w:color="000000" w:sz="8" w:space="0"/>
              <w:left w:val="single" w:color="000000" w:sz="8" w:space="0"/>
            </w:tcBorders>
            <w:vAlign w:val="center"/>
          </w:tcPr>
          <w:p w14:paraId="785D42A3">
            <w:pPr>
              <w:pStyle w:val="25"/>
              <w:ind w:firstLine="0" w:firstLineChars="0"/>
              <w:jc w:val="center"/>
              <w:rPr>
                <w:sz w:val="16"/>
                <w:szCs w:val="16"/>
              </w:rPr>
            </w:pPr>
            <w:r>
              <w:rPr>
                <w:rFonts w:hint="eastAsia"/>
                <w:sz w:val="16"/>
                <w:szCs w:val="16"/>
              </w:rPr>
              <w:t>质量评价信息库信息</w:t>
            </w:r>
          </w:p>
        </w:tc>
        <w:tc>
          <w:tcPr>
            <w:tcW w:w="4533" w:type="dxa"/>
            <w:gridSpan w:val="6"/>
            <w:tcBorders>
              <w:top w:val="single" w:color="000000" w:sz="8" w:space="0"/>
              <w:right w:val="single" w:color="000000" w:sz="8" w:space="0"/>
            </w:tcBorders>
            <w:vAlign w:val="center"/>
          </w:tcPr>
          <w:p w14:paraId="2CD26DDD">
            <w:pPr>
              <w:pStyle w:val="25"/>
              <w:ind w:firstLine="0" w:firstLineChars="0"/>
              <w:jc w:val="center"/>
              <w:rPr>
                <w:sz w:val="16"/>
                <w:szCs w:val="16"/>
              </w:rPr>
            </w:pPr>
            <w:r>
              <w:rPr>
                <w:rFonts w:hint="eastAsia"/>
                <w:sz w:val="16"/>
                <w:szCs w:val="16"/>
              </w:rPr>
              <w:t>设备备到货抽检策略及方案</w:t>
            </w:r>
          </w:p>
        </w:tc>
      </w:tr>
      <w:tr w14:paraId="47EB7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3118" w:type="dxa"/>
            <w:gridSpan w:val="2"/>
            <w:tcBorders>
              <w:left w:val="single" w:color="000000" w:sz="8" w:space="0"/>
            </w:tcBorders>
            <w:vAlign w:val="center"/>
          </w:tcPr>
          <w:p w14:paraId="28E1315B">
            <w:pPr>
              <w:pStyle w:val="25"/>
              <w:ind w:firstLine="0" w:firstLineChars="0"/>
              <w:jc w:val="center"/>
              <w:rPr>
                <w:sz w:val="16"/>
                <w:szCs w:val="16"/>
              </w:rPr>
            </w:pPr>
            <w:r>
              <w:rPr>
                <w:rFonts w:hint="eastAsia"/>
                <w:sz w:val="16"/>
                <w:szCs w:val="16"/>
              </w:rPr>
              <w:t>物资品类</w:t>
            </w:r>
          </w:p>
        </w:tc>
        <w:tc>
          <w:tcPr>
            <w:tcW w:w="4533" w:type="dxa"/>
            <w:gridSpan w:val="6"/>
            <w:tcBorders>
              <w:right w:val="single" w:color="000000" w:sz="8" w:space="0"/>
            </w:tcBorders>
            <w:vAlign w:val="center"/>
          </w:tcPr>
          <w:p w14:paraId="622F3404">
            <w:pPr>
              <w:pStyle w:val="25"/>
              <w:ind w:firstLine="0" w:firstLineChars="0"/>
              <w:jc w:val="center"/>
              <w:rPr>
                <w:sz w:val="16"/>
                <w:szCs w:val="16"/>
              </w:rPr>
            </w:pPr>
            <w:r>
              <w:rPr>
                <w:rFonts w:hint="eastAsia"/>
                <w:sz w:val="16"/>
                <w:szCs w:val="16"/>
              </w:rPr>
              <w:t>物资品类</w:t>
            </w:r>
          </w:p>
        </w:tc>
      </w:tr>
      <w:tr w14:paraId="7FF58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3118" w:type="dxa"/>
            <w:gridSpan w:val="2"/>
            <w:tcBorders>
              <w:left w:val="single" w:color="000000" w:sz="8" w:space="0"/>
            </w:tcBorders>
            <w:vAlign w:val="center"/>
          </w:tcPr>
          <w:p w14:paraId="2ECD9863">
            <w:pPr>
              <w:pStyle w:val="25"/>
              <w:ind w:firstLine="0" w:firstLineChars="0"/>
              <w:jc w:val="center"/>
              <w:rPr>
                <w:sz w:val="16"/>
                <w:szCs w:val="16"/>
              </w:rPr>
            </w:pPr>
            <w:r>
              <w:rPr>
                <w:rFonts w:hint="eastAsia"/>
                <w:sz w:val="16"/>
                <w:szCs w:val="16"/>
              </w:rPr>
              <w:t>供应商</w:t>
            </w:r>
          </w:p>
        </w:tc>
        <w:tc>
          <w:tcPr>
            <w:tcW w:w="4533" w:type="dxa"/>
            <w:gridSpan w:val="6"/>
            <w:tcBorders>
              <w:right w:val="single" w:color="000000" w:sz="8" w:space="0"/>
            </w:tcBorders>
            <w:vAlign w:val="center"/>
          </w:tcPr>
          <w:p w14:paraId="205BE1E3">
            <w:pPr>
              <w:pStyle w:val="25"/>
              <w:ind w:firstLine="0" w:firstLineChars="0"/>
              <w:jc w:val="center"/>
              <w:rPr>
                <w:sz w:val="16"/>
                <w:szCs w:val="16"/>
              </w:rPr>
            </w:pPr>
            <w:r>
              <w:rPr>
                <w:rFonts w:hint="eastAsia"/>
                <w:sz w:val="16"/>
                <w:szCs w:val="16"/>
              </w:rPr>
              <w:t>供应商</w:t>
            </w:r>
          </w:p>
        </w:tc>
      </w:tr>
      <w:tr w14:paraId="6EC59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00" w:type="dxa"/>
            <w:vMerge w:val="restart"/>
            <w:tcBorders>
              <w:left w:val="single" w:color="000000" w:sz="8" w:space="0"/>
              <w:right w:val="single" w:color="auto" w:sz="4" w:space="0"/>
            </w:tcBorders>
            <w:vAlign w:val="center"/>
          </w:tcPr>
          <w:p w14:paraId="0917F642">
            <w:pPr>
              <w:pStyle w:val="25"/>
              <w:ind w:firstLine="0" w:firstLineChars="0"/>
              <w:jc w:val="center"/>
              <w:rPr>
                <w:sz w:val="16"/>
                <w:szCs w:val="16"/>
              </w:rPr>
            </w:pPr>
            <w:bookmarkStart w:id="89" w:name="_Hlk100073742"/>
            <w:r>
              <w:rPr>
                <w:rFonts w:hint="eastAsia"/>
                <w:sz w:val="16"/>
                <w:szCs w:val="16"/>
              </w:rPr>
              <w:t>质量评价</w:t>
            </w:r>
          </w:p>
        </w:tc>
        <w:tc>
          <w:tcPr>
            <w:tcW w:w="1918" w:type="dxa"/>
            <w:tcBorders>
              <w:left w:val="single" w:color="auto" w:sz="4" w:space="0"/>
            </w:tcBorders>
            <w:vAlign w:val="center"/>
          </w:tcPr>
          <w:p w14:paraId="774EF2C0">
            <w:pPr>
              <w:pStyle w:val="25"/>
              <w:ind w:firstLine="0" w:firstLineChars="0"/>
              <w:jc w:val="center"/>
              <w:rPr>
                <w:sz w:val="16"/>
                <w:szCs w:val="16"/>
              </w:rPr>
            </w:pPr>
            <w:r>
              <w:rPr>
                <w:rFonts w:hint="eastAsia"/>
                <w:sz w:val="16"/>
                <w:szCs w:val="16"/>
              </w:rPr>
              <w:t>等级</w:t>
            </w:r>
          </w:p>
        </w:tc>
        <w:tc>
          <w:tcPr>
            <w:tcW w:w="1101" w:type="dxa"/>
            <w:tcBorders>
              <w:right w:val="single" w:color="auto" w:sz="4" w:space="0"/>
            </w:tcBorders>
            <w:vAlign w:val="center"/>
          </w:tcPr>
          <w:p w14:paraId="2AC3B978">
            <w:pPr>
              <w:pStyle w:val="25"/>
              <w:ind w:firstLine="0" w:firstLineChars="0"/>
              <w:jc w:val="center"/>
              <w:rPr>
                <w:sz w:val="16"/>
                <w:szCs w:val="16"/>
              </w:rPr>
            </w:pPr>
            <w:r>
              <w:rPr>
                <w:rFonts w:hint="eastAsia"/>
                <w:sz w:val="16"/>
                <w:szCs w:val="16"/>
              </w:rPr>
              <w:t>策略</w:t>
            </w:r>
          </w:p>
        </w:tc>
        <w:tc>
          <w:tcPr>
            <w:tcW w:w="1092" w:type="dxa"/>
            <w:tcBorders>
              <w:left w:val="single" w:color="auto" w:sz="4" w:space="0"/>
            </w:tcBorders>
            <w:vAlign w:val="center"/>
          </w:tcPr>
          <w:p w14:paraId="31AF050A">
            <w:pPr>
              <w:pStyle w:val="25"/>
              <w:ind w:firstLine="0" w:firstLineChars="0"/>
              <w:jc w:val="center"/>
              <w:rPr>
                <w:sz w:val="16"/>
                <w:szCs w:val="16"/>
              </w:rPr>
            </w:pPr>
            <w:r>
              <w:rPr>
                <w:rFonts w:hint="eastAsia"/>
                <w:sz w:val="16"/>
                <w:szCs w:val="16"/>
              </w:rPr>
              <w:t>检测项目</w:t>
            </w:r>
          </w:p>
        </w:tc>
        <w:tc>
          <w:tcPr>
            <w:tcW w:w="1134" w:type="dxa"/>
            <w:gridSpan w:val="2"/>
            <w:vAlign w:val="center"/>
          </w:tcPr>
          <w:p w14:paraId="22611F4F">
            <w:pPr>
              <w:pStyle w:val="25"/>
              <w:ind w:firstLine="0" w:firstLineChars="0"/>
              <w:jc w:val="center"/>
              <w:rPr>
                <w:sz w:val="16"/>
                <w:szCs w:val="16"/>
              </w:rPr>
            </w:pPr>
            <w:r>
              <w:rPr>
                <w:rFonts w:hint="eastAsia"/>
                <w:sz w:val="16"/>
                <w:szCs w:val="16"/>
              </w:rPr>
              <w:t>抽检频次</w:t>
            </w:r>
          </w:p>
        </w:tc>
        <w:tc>
          <w:tcPr>
            <w:tcW w:w="1206" w:type="dxa"/>
            <w:gridSpan w:val="2"/>
            <w:tcBorders>
              <w:right w:val="single" w:color="000000" w:sz="8" w:space="0"/>
            </w:tcBorders>
            <w:vAlign w:val="center"/>
          </w:tcPr>
          <w:p w14:paraId="02FAE8E7">
            <w:pPr>
              <w:pStyle w:val="25"/>
              <w:ind w:firstLine="0" w:firstLineChars="0"/>
              <w:jc w:val="center"/>
              <w:rPr>
                <w:sz w:val="16"/>
                <w:szCs w:val="16"/>
              </w:rPr>
            </w:pPr>
            <w:r>
              <w:rPr>
                <w:rFonts w:hint="eastAsia"/>
                <w:sz w:val="16"/>
                <w:szCs w:val="16"/>
              </w:rPr>
              <w:t>抽检数量</w:t>
            </w:r>
          </w:p>
        </w:tc>
      </w:tr>
      <w:bookmarkEnd w:id="89"/>
      <w:tr w14:paraId="3B6F2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00" w:type="dxa"/>
            <w:vMerge w:val="continue"/>
            <w:tcBorders>
              <w:left w:val="single" w:color="000000" w:sz="8" w:space="0"/>
              <w:right w:val="single" w:color="auto" w:sz="4" w:space="0"/>
            </w:tcBorders>
            <w:vAlign w:val="center"/>
          </w:tcPr>
          <w:p w14:paraId="2D91E9C1">
            <w:pPr>
              <w:pStyle w:val="25"/>
              <w:ind w:firstLine="0" w:firstLineChars="0"/>
              <w:jc w:val="center"/>
              <w:rPr>
                <w:sz w:val="16"/>
                <w:szCs w:val="16"/>
              </w:rPr>
            </w:pPr>
          </w:p>
        </w:tc>
        <w:tc>
          <w:tcPr>
            <w:tcW w:w="1918" w:type="dxa"/>
            <w:tcBorders>
              <w:left w:val="single" w:color="auto" w:sz="4" w:space="0"/>
            </w:tcBorders>
            <w:vAlign w:val="center"/>
          </w:tcPr>
          <w:p w14:paraId="51C16781">
            <w:pPr>
              <w:pStyle w:val="25"/>
              <w:ind w:firstLine="0" w:firstLineChars="0"/>
              <w:jc w:val="center"/>
              <w:rPr>
                <w:sz w:val="16"/>
                <w:szCs w:val="16"/>
              </w:rPr>
            </w:pPr>
            <w:r>
              <w:rPr>
                <w:rFonts w:hint="eastAsia" w:asciiTheme="majorEastAsia" w:hAnsiTheme="majorEastAsia" w:eastAsiaTheme="majorEastAsia"/>
                <w:sz w:val="16"/>
                <w:szCs w:val="16"/>
              </w:rPr>
              <w:t>最近连续三年均为优</w:t>
            </w:r>
          </w:p>
        </w:tc>
        <w:tc>
          <w:tcPr>
            <w:tcW w:w="1101" w:type="dxa"/>
            <w:vMerge w:val="restart"/>
            <w:tcBorders>
              <w:right w:val="single" w:color="auto" w:sz="4" w:space="0"/>
            </w:tcBorders>
            <w:vAlign w:val="center"/>
          </w:tcPr>
          <w:p w14:paraId="03ACAA44">
            <w:pPr>
              <w:pStyle w:val="25"/>
              <w:ind w:firstLine="0" w:firstLineChars="0"/>
              <w:jc w:val="center"/>
              <w:rPr>
                <w:sz w:val="16"/>
                <w:szCs w:val="16"/>
              </w:rPr>
            </w:pPr>
            <w:r>
              <w:rPr>
                <w:rFonts w:hint="eastAsia"/>
                <w:sz w:val="16"/>
                <w:szCs w:val="16"/>
              </w:rPr>
              <w:t>宽松</w:t>
            </w:r>
          </w:p>
        </w:tc>
        <w:tc>
          <w:tcPr>
            <w:tcW w:w="1101" w:type="dxa"/>
            <w:gridSpan w:val="2"/>
            <w:vMerge w:val="restart"/>
            <w:tcBorders>
              <w:left w:val="single" w:color="auto" w:sz="4" w:space="0"/>
            </w:tcBorders>
            <w:vAlign w:val="center"/>
          </w:tcPr>
          <w:p w14:paraId="120CA37C">
            <w:pPr>
              <w:pStyle w:val="25"/>
              <w:ind w:firstLine="0" w:firstLineChars="0"/>
              <w:jc w:val="center"/>
              <w:rPr>
                <w:sz w:val="16"/>
                <w:szCs w:val="16"/>
              </w:rPr>
            </w:pPr>
            <w:r>
              <w:rPr>
                <w:rFonts w:hint="eastAsia"/>
                <w:sz w:val="16"/>
                <w:szCs w:val="16"/>
              </w:rPr>
              <w:t>按表</w:t>
            </w:r>
            <w:r>
              <w:rPr>
                <w:sz w:val="16"/>
                <w:szCs w:val="16"/>
              </w:rPr>
              <w:t>12.</w:t>
            </w:r>
            <w:r>
              <w:rPr>
                <w:rFonts w:hint="eastAsia"/>
                <w:sz w:val="16"/>
                <w:szCs w:val="16"/>
              </w:rPr>
              <w:t>规定</w:t>
            </w:r>
          </w:p>
        </w:tc>
        <w:tc>
          <w:tcPr>
            <w:tcW w:w="1134" w:type="dxa"/>
            <w:gridSpan w:val="2"/>
            <w:vMerge w:val="restart"/>
            <w:tcBorders>
              <w:left w:val="single" w:color="auto" w:sz="4" w:space="0"/>
            </w:tcBorders>
            <w:vAlign w:val="center"/>
          </w:tcPr>
          <w:p w14:paraId="09E8890B">
            <w:pPr>
              <w:pStyle w:val="25"/>
              <w:ind w:firstLine="0" w:firstLineChars="0"/>
              <w:jc w:val="center"/>
              <w:rPr>
                <w:sz w:val="16"/>
                <w:szCs w:val="16"/>
              </w:rPr>
            </w:pPr>
            <w:r>
              <w:rPr>
                <w:rFonts w:hint="eastAsia"/>
                <w:sz w:val="16"/>
                <w:szCs w:val="16"/>
              </w:rPr>
              <w:t>按表</w:t>
            </w:r>
            <w:r>
              <w:rPr>
                <w:sz w:val="16"/>
                <w:szCs w:val="16"/>
              </w:rPr>
              <w:t>13.</w:t>
            </w:r>
            <w:r>
              <w:rPr>
                <w:rFonts w:hint="eastAsia"/>
                <w:sz w:val="16"/>
                <w:szCs w:val="16"/>
              </w:rPr>
              <w:t>规定</w:t>
            </w:r>
          </w:p>
        </w:tc>
        <w:tc>
          <w:tcPr>
            <w:tcW w:w="1197" w:type="dxa"/>
            <w:vMerge w:val="restart"/>
            <w:tcBorders>
              <w:left w:val="single" w:color="auto" w:sz="4" w:space="0"/>
              <w:right w:val="single" w:color="000000" w:sz="8" w:space="0"/>
            </w:tcBorders>
            <w:vAlign w:val="center"/>
          </w:tcPr>
          <w:p w14:paraId="38DE18EE">
            <w:pPr>
              <w:pStyle w:val="25"/>
              <w:ind w:firstLine="0" w:firstLineChars="0"/>
              <w:jc w:val="center"/>
              <w:rPr>
                <w:sz w:val="16"/>
                <w:szCs w:val="16"/>
              </w:rPr>
            </w:pPr>
            <w:r>
              <w:rPr>
                <w:rFonts w:hint="eastAsia"/>
                <w:sz w:val="16"/>
                <w:szCs w:val="16"/>
              </w:rPr>
              <w:t>按表</w:t>
            </w:r>
            <w:r>
              <w:rPr>
                <w:sz w:val="16"/>
                <w:szCs w:val="16"/>
              </w:rPr>
              <w:t>14.</w:t>
            </w:r>
            <w:r>
              <w:rPr>
                <w:rFonts w:hint="eastAsia"/>
                <w:sz w:val="16"/>
                <w:szCs w:val="16"/>
              </w:rPr>
              <w:t>规定</w:t>
            </w:r>
          </w:p>
        </w:tc>
      </w:tr>
      <w:tr w14:paraId="4FA89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00" w:type="dxa"/>
            <w:vMerge w:val="continue"/>
            <w:tcBorders>
              <w:left w:val="single" w:color="000000" w:sz="8" w:space="0"/>
              <w:right w:val="single" w:color="auto" w:sz="4" w:space="0"/>
            </w:tcBorders>
            <w:vAlign w:val="center"/>
          </w:tcPr>
          <w:p w14:paraId="31A632F8">
            <w:pPr>
              <w:pStyle w:val="25"/>
              <w:ind w:firstLine="0" w:firstLineChars="0"/>
              <w:jc w:val="center"/>
              <w:rPr>
                <w:sz w:val="16"/>
                <w:szCs w:val="16"/>
              </w:rPr>
            </w:pPr>
          </w:p>
        </w:tc>
        <w:tc>
          <w:tcPr>
            <w:tcW w:w="1918" w:type="dxa"/>
            <w:tcBorders>
              <w:left w:val="single" w:color="auto" w:sz="4" w:space="0"/>
            </w:tcBorders>
            <w:vAlign w:val="center"/>
          </w:tcPr>
          <w:p w14:paraId="4FFE2CF5">
            <w:pPr>
              <w:pStyle w:val="25"/>
              <w:ind w:firstLine="0" w:firstLineChars="0"/>
              <w:jc w:val="center"/>
              <w:rPr>
                <w:sz w:val="16"/>
                <w:szCs w:val="16"/>
              </w:rPr>
            </w:pPr>
            <w:r>
              <w:rPr>
                <w:rFonts w:hint="eastAsia" w:asciiTheme="majorEastAsia" w:hAnsiTheme="majorEastAsia" w:eastAsiaTheme="majorEastAsia"/>
                <w:sz w:val="16"/>
                <w:szCs w:val="16"/>
              </w:rPr>
              <w:t>最近连续两年均为优</w:t>
            </w:r>
          </w:p>
        </w:tc>
        <w:tc>
          <w:tcPr>
            <w:tcW w:w="1101" w:type="dxa"/>
            <w:vMerge w:val="continue"/>
            <w:tcBorders>
              <w:right w:val="single" w:color="auto" w:sz="4" w:space="0"/>
            </w:tcBorders>
            <w:vAlign w:val="center"/>
          </w:tcPr>
          <w:p w14:paraId="650F9D2D">
            <w:pPr>
              <w:pStyle w:val="25"/>
              <w:ind w:firstLine="0" w:firstLineChars="0"/>
              <w:jc w:val="center"/>
              <w:rPr>
                <w:sz w:val="16"/>
                <w:szCs w:val="16"/>
              </w:rPr>
            </w:pPr>
          </w:p>
        </w:tc>
        <w:tc>
          <w:tcPr>
            <w:tcW w:w="1101" w:type="dxa"/>
            <w:gridSpan w:val="2"/>
            <w:vMerge w:val="continue"/>
            <w:tcBorders>
              <w:left w:val="single" w:color="auto" w:sz="4" w:space="0"/>
            </w:tcBorders>
            <w:vAlign w:val="center"/>
          </w:tcPr>
          <w:p w14:paraId="230DAFF3">
            <w:pPr>
              <w:pStyle w:val="25"/>
              <w:ind w:firstLine="0" w:firstLineChars="0"/>
              <w:jc w:val="center"/>
              <w:rPr>
                <w:sz w:val="16"/>
                <w:szCs w:val="16"/>
              </w:rPr>
            </w:pPr>
          </w:p>
        </w:tc>
        <w:tc>
          <w:tcPr>
            <w:tcW w:w="1134" w:type="dxa"/>
            <w:gridSpan w:val="2"/>
            <w:vMerge w:val="continue"/>
            <w:tcBorders>
              <w:left w:val="single" w:color="auto" w:sz="4" w:space="0"/>
            </w:tcBorders>
            <w:vAlign w:val="center"/>
          </w:tcPr>
          <w:p w14:paraId="5F23C6A1">
            <w:pPr>
              <w:pStyle w:val="25"/>
              <w:ind w:firstLine="0" w:firstLineChars="0"/>
              <w:jc w:val="center"/>
              <w:rPr>
                <w:sz w:val="16"/>
                <w:szCs w:val="16"/>
              </w:rPr>
            </w:pPr>
          </w:p>
        </w:tc>
        <w:tc>
          <w:tcPr>
            <w:tcW w:w="1197" w:type="dxa"/>
            <w:vMerge w:val="continue"/>
            <w:tcBorders>
              <w:left w:val="single" w:color="auto" w:sz="4" w:space="0"/>
              <w:right w:val="single" w:color="000000" w:sz="8" w:space="0"/>
            </w:tcBorders>
            <w:vAlign w:val="center"/>
          </w:tcPr>
          <w:p w14:paraId="7A880805">
            <w:pPr>
              <w:pStyle w:val="25"/>
              <w:ind w:firstLine="0" w:firstLineChars="0"/>
              <w:jc w:val="center"/>
              <w:rPr>
                <w:sz w:val="16"/>
                <w:szCs w:val="16"/>
              </w:rPr>
            </w:pPr>
          </w:p>
        </w:tc>
      </w:tr>
      <w:tr w14:paraId="57561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00" w:type="dxa"/>
            <w:vMerge w:val="continue"/>
            <w:tcBorders>
              <w:left w:val="single" w:color="000000" w:sz="8" w:space="0"/>
              <w:right w:val="single" w:color="auto" w:sz="4" w:space="0"/>
            </w:tcBorders>
            <w:vAlign w:val="center"/>
          </w:tcPr>
          <w:p w14:paraId="1214F2A8">
            <w:pPr>
              <w:pStyle w:val="25"/>
              <w:ind w:firstLine="0" w:firstLineChars="0"/>
              <w:jc w:val="center"/>
              <w:rPr>
                <w:sz w:val="16"/>
                <w:szCs w:val="16"/>
              </w:rPr>
            </w:pPr>
          </w:p>
        </w:tc>
        <w:tc>
          <w:tcPr>
            <w:tcW w:w="1918" w:type="dxa"/>
            <w:tcBorders>
              <w:left w:val="single" w:color="auto" w:sz="4" w:space="0"/>
            </w:tcBorders>
            <w:vAlign w:val="center"/>
          </w:tcPr>
          <w:p w14:paraId="48ADCAE2">
            <w:pPr>
              <w:pStyle w:val="25"/>
              <w:ind w:firstLine="0" w:firstLineChars="0"/>
              <w:jc w:val="center"/>
              <w:rPr>
                <w:sz w:val="16"/>
                <w:szCs w:val="16"/>
              </w:rPr>
            </w:pPr>
            <w:r>
              <w:rPr>
                <w:rFonts w:hint="eastAsia" w:asciiTheme="majorEastAsia" w:hAnsiTheme="majorEastAsia" w:eastAsiaTheme="majorEastAsia"/>
                <w:sz w:val="16"/>
                <w:szCs w:val="16"/>
              </w:rPr>
              <w:t>最近一年为优</w:t>
            </w:r>
          </w:p>
        </w:tc>
        <w:tc>
          <w:tcPr>
            <w:tcW w:w="1101" w:type="dxa"/>
            <w:vMerge w:val="continue"/>
            <w:tcBorders>
              <w:right w:val="single" w:color="auto" w:sz="4" w:space="0"/>
            </w:tcBorders>
            <w:vAlign w:val="center"/>
          </w:tcPr>
          <w:p w14:paraId="4E4D0E40">
            <w:pPr>
              <w:pStyle w:val="25"/>
              <w:ind w:firstLine="0" w:firstLineChars="0"/>
              <w:jc w:val="center"/>
              <w:rPr>
                <w:sz w:val="16"/>
                <w:szCs w:val="16"/>
              </w:rPr>
            </w:pPr>
          </w:p>
        </w:tc>
        <w:tc>
          <w:tcPr>
            <w:tcW w:w="1101" w:type="dxa"/>
            <w:gridSpan w:val="2"/>
            <w:vMerge w:val="continue"/>
            <w:tcBorders>
              <w:left w:val="single" w:color="auto" w:sz="4" w:space="0"/>
            </w:tcBorders>
            <w:vAlign w:val="center"/>
          </w:tcPr>
          <w:p w14:paraId="7D289865">
            <w:pPr>
              <w:pStyle w:val="25"/>
              <w:ind w:firstLine="0" w:firstLineChars="0"/>
              <w:jc w:val="center"/>
              <w:rPr>
                <w:sz w:val="16"/>
                <w:szCs w:val="16"/>
              </w:rPr>
            </w:pPr>
          </w:p>
        </w:tc>
        <w:tc>
          <w:tcPr>
            <w:tcW w:w="1134" w:type="dxa"/>
            <w:gridSpan w:val="2"/>
            <w:vMerge w:val="continue"/>
            <w:tcBorders>
              <w:left w:val="single" w:color="auto" w:sz="4" w:space="0"/>
            </w:tcBorders>
            <w:vAlign w:val="center"/>
          </w:tcPr>
          <w:p w14:paraId="196B5128">
            <w:pPr>
              <w:pStyle w:val="25"/>
              <w:ind w:firstLine="0" w:firstLineChars="0"/>
              <w:jc w:val="center"/>
              <w:rPr>
                <w:sz w:val="16"/>
                <w:szCs w:val="16"/>
              </w:rPr>
            </w:pPr>
          </w:p>
        </w:tc>
        <w:tc>
          <w:tcPr>
            <w:tcW w:w="1197" w:type="dxa"/>
            <w:vMerge w:val="continue"/>
            <w:tcBorders>
              <w:left w:val="single" w:color="auto" w:sz="4" w:space="0"/>
              <w:right w:val="single" w:color="000000" w:sz="8" w:space="0"/>
            </w:tcBorders>
            <w:vAlign w:val="center"/>
          </w:tcPr>
          <w:p w14:paraId="451525C0">
            <w:pPr>
              <w:pStyle w:val="25"/>
              <w:ind w:firstLine="0" w:firstLineChars="0"/>
              <w:jc w:val="center"/>
              <w:rPr>
                <w:sz w:val="16"/>
                <w:szCs w:val="16"/>
              </w:rPr>
            </w:pPr>
          </w:p>
        </w:tc>
      </w:tr>
      <w:tr w14:paraId="3A6A7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00" w:type="dxa"/>
            <w:vMerge w:val="continue"/>
            <w:tcBorders>
              <w:left w:val="single" w:color="000000" w:sz="8" w:space="0"/>
              <w:right w:val="single" w:color="auto" w:sz="4" w:space="0"/>
            </w:tcBorders>
            <w:vAlign w:val="center"/>
          </w:tcPr>
          <w:p w14:paraId="1C8D999B">
            <w:pPr>
              <w:pStyle w:val="25"/>
              <w:ind w:firstLine="0" w:firstLineChars="0"/>
              <w:jc w:val="center"/>
              <w:rPr>
                <w:sz w:val="16"/>
                <w:szCs w:val="16"/>
              </w:rPr>
            </w:pPr>
          </w:p>
        </w:tc>
        <w:tc>
          <w:tcPr>
            <w:tcW w:w="1918" w:type="dxa"/>
            <w:tcBorders>
              <w:left w:val="single" w:color="auto" w:sz="4" w:space="0"/>
            </w:tcBorders>
            <w:vAlign w:val="center"/>
          </w:tcPr>
          <w:p w14:paraId="7F4A98E2">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最近一年为良</w:t>
            </w:r>
          </w:p>
        </w:tc>
        <w:tc>
          <w:tcPr>
            <w:tcW w:w="1101" w:type="dxa"/>
            <w:vAlign w:val="center"/>
          </w:tcPr>
          <w:p w14:paraId="6BD8248A">
            <w:pPr>
              <w:pStyle w:val="25"/>
              <w:ind w:firstLine="0" w:firstLineChars="0"/>
              <w:jc w:val="center"/>
              <w:rPr>
                <w:sz w:val="16"/>
                <w:szCs w:val="16"/>
              </w:rPr>
            </w:pPr>
            <w:r>
              <w:rPr>
                <w:rFonts w:hint="eastAsia"/>
                <w:sz w:val="16"/>
                <w:szCs w:val="16"/>
              </w:rPr>
              <w:t>常规</w:t>
            </w:r>
          </w:p>
        </w:tc>
        <w:tc>
          <w:tcPr>
            <w:tcW w:w="1101" w:type="dxa"/>
            <w:gridSpan w:val="2"/>
            <w:vAlign w:val="center"/>
          </w:tcPr>
          <w:p w14:paraId="5DFEA782">
            <w:pPr>
              <w:pStyle w:val="25"/>
              <w:ind w:firstLine="0" w:firstLineChars="0"/>
              <w:jc w:val="center"/>
              <w:rPr>
                <w:sz w:val="16"/>
                <w:szCs w:val="16"/>
              </w:rPr>
            </w:pPr>
            <w:r>
              <w:rPr>
                <w:rFonts w:hint="eastAsia"/>
                <w:sz w:val="16"/>
                <w:szCs w:val="16"/>
              </w:rPr>
              <w:t>按表</w:t>
            </w:r>
            <w:r>
              <w:rPr>
                <w:sz w:val="16"/>
                <w:szCs w:val="16"/>
              </w:rPr>
              <w:t>12</w:t>
            </w:r>
            <w:r>
              <w:rPr>
                <w:rFonts w:hint="eastAsia"/>
                <w:sz w:val="16"/>
                <w:szCs w:val="16"/>
              </w:rPr>
              <w:t>.规定</w:t>
            </w:r>
          </w:p>
        </w:tc>
        <w:tc>
          <w:tcPr>
            <w:tcW w:w="1134" w:type="dxa"/>
            <w:gridSpan w:val="2"/>
            <w:vAlign w:val="center"/>
          </w:tcPr>
          <w:p w14:paraId="0D6D1D4B">
            <w:pPr>
              <w:pStyle w:val="25"/>
              <w:ind w:firstLine="0" w:firstLineChars="0"/>
              <w:jc w:val="center"/>
              <w:rPr>
                <w:sz w:val="16"/>
                <w:szCs w:val="16"/>
              </w:rPr>
            </w:pPr>
            <w:r>
              <w:rPr>
                <w:rFonts w:hint="eastAsia"/>
                <w:sz w:val="16"/>
                <w:szCs w:val="16"/>
              </w:rPr>
              <w:t>按表</w:t>
            </w:r>
            <w:r>
              <w:rPr>
                <w:sz w:val="16"/>
                <w:szCs w:val="16"/>
              </w:rPr>
              <w:t>13</w:t>
            </w:r>
            <w:r>
              <w:rPr>
                <w:rFonts w:hint="eastAsia"/>
                <w:sz w:val="16"/>
                <w:szCs w:val="16"/>
              </w:rPr>
              <w:t>.规定</w:t>
            </w:r>
          </w:p>
        </w:tc>
        <w:tc>
          <w:tcPr>
            <w:tcW w:w="1197" w:type="dxa"/>
            <w:tcBorders>
              <w:right w:val="single" w:color="000000" w:sz="8" w:space="0"/>
            </w:tcBorders>
            <w:vAlign w:val="center"/>
          </w:tcPr>
          <w:p w14:paraId="2E096B69">
            <w:pPr>
              <w:pStyle w:val="25"/>
              <w:ind w:firstLine="0" w:firstLineChars="0"/>
              <w:jc w:val="center"/>
              <w:rPr>
                <w:sz w:val="16"/>
                <w:szCs w:val="16"/>
              </w:rPr>
            </w:pPr>
            <w:r>
              <w:rPr>
                <w:rFonts w:hint="eastAsia"/>
                <w:sz w:val="16"/>
                <w:szCs w:val="16"/>
              </w:rPr>
              <w:t>按表</w:t>
            </w:r>
            <w:r>
              <w:rPr>
                <w:sz w:val="16"/>
                <w:szCs w:val="16"/>
              </w:rPr>
              <w:t>14</w:t>
            </w:r>
            <w:r>
              <w:rPr>
                <w:rFonts w:hint="eastAsia"/>
                <w:sz w:val="16"/>
                <w:szCs w:val="16"/>
              </w:rPr>
              <w:t>.规定</w:t>
            </w:r>
          </w:p>
        </w:tc>
      </w:tr>
      <w:tr w14:paraId="59FC6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00" w:type="dxa"/>
            <w:vMerge w:val="continue"/>
            <w:tcBorders>
              <w:left w:val="single" w:color="000000" w:sz="8" w:space="0"/>
              <w:bottom w:val="single" w:color="000000" w:sz="8" w:space="0"/>
              <w:right w:val="single" w:color="auto" w:sz="4" w:space="0"/>
            </w:tcBorders>
            <w:vAlign w:val="center"/>
          </w:tcPr>
          <w:p w14:paraId="21A0B303">
            <w:pPr>
              <w:pStyle w:val="25"/>
              <w:ind w:firstLine="0" w:firstLineChars="0"/>
              <w:jc w:val="center"/>
              <w:rPr>
                <w:sz w:val="16"/>
                <w:szCs w:val="16"/>
              </w:rPr>
            </w:pPr>
          </w:p>
        </w:tc>
        <w:tc>
          <w:tcPr>
            <w:tcW w:w="1918" w:type="dxa"/>
            <w:tcBorders>
              <w:left w:val="single" w:color="auto" w:sz="4" w:space="0"/>
              <w:bottom w:val="single" w:color="000000" w:sz="8" w:space="0"/>
            </w:tcBorders>
            <w:vAlign w:val="center"/>
          </w:tcPr>
          <w:p w14:paraId="2D004D7D">
            <w:pPr>
              <w:pStyle w:val="25"/>
              <w:ind w:firstLine="0" w:firstLineChars="0"/>
              <w:jc w:val="center"/>
              <w:rPr>
                <w:rFonts w:asciiTheme="majorEastAsia" w:hAnsiTheme="majorEastAsia" w:eastAsiaTheme="majorEastAsia"/>
                <w:sz w:val="16"/>
                <w:szCs w:val="16"/>
              </w:rPr>
            </w:pPr>
            <w:r>
              <w:rPr>
                <w:rFonts w:hint="eastAsia" w:asciiTheme="majorEastAsia" w:hAnsiTheme="majorEastAsia" w:eastAsiaTheme="majorEastAsia"/>
                <w:sz w:val="16"/>
                <w:szCs w:val="16"/>
              </w:rPr>
              <w:t>最近一年为差</w:t>
            </w:r>
          </w:p>
        </w:tc>
        <w:tc>
          <w:tcPr>
            <w:tcW w:w="1101" w:type="dxa"/>
            <w:tcBorders>
              <w:bottom w:val="single" w:color="000000" w:sz="8" w:space="0"/>
            </w:tcBorders>
            <w:vAlign w:val="center"/>
          </w:tcPr>
          <w:p w14:paraId="7FA96E40">
            <w:pPr>
              <w:pStyle w:val="25"/>
              <w:ind w:firstLine="0" w:firstLineChars="0"/>
              <w:jc w:val="center"/>
              <w:rPr>
                <w:sz w:val="16"/>
                <w:szCs w:val="16"/>
              </w:rPr>
            </w:pPr>
            <w:r>
              <w:rPr>
                <w:rFonts w:hint="eastAsia"/>
                <w:sz w:val="16"/>
                <w:szCs w:val="16"/>
              </w:rPr>
              <w:t>加严</w:t>
            </w:r>
          </w:p>
        </w:tc>
        <w:tc>
          <w:tcPr>
            <w:tcW w:w="1101" w:type="dxa"/>
            <w:gridSpan w:val="2"/>
            <w:tcBorders>
              <w:bottom w:val="single" w:color="000000" w:sz="8" w:space="0"/>
            </w:tcBorders>
            <w:vAlign w:val="center"/>
          </w:tcPr>
          <w:p w14:paraId="21F79625">
            <w:pPr>
              <w:pStyle w:val="25"/>
              <w:ind w:firstLine="0" w:firstLineChars="0"/>
              <w:jc w:val="center"/>
              <w:rPr>
                <w:sz w:val="16"/>
                <w:szCs w:val="16"/>
              </w:rPr>
            </w:pPr>
            <w:r>
              <w:rPr>
                <w:rFonts w:hint="eastAsia"/>
                <w:sz w:val="16"/>
                <w:szCs w:val="16"/>
              </w:rPr>
              <w:t>按表</w:t>
            </w:r>
            <w:r>
              <w:rPr>
                <w:sz w:val="16"/>
                <w:szCs w:val="16"/>
              </w:rPr>
              <w:t>12</w:t>
            </w:r>
            <w:r>
              <w:rPr>
                <w:rFonts w:hint="eastAsia"/>
                <w:sz w:val="16"/>
                <w:szCs w:val="16"/>
              </w:rPr>
              <w:t>.规定</w:t>
            </w:r>
          </w:p>
        </w:tc>
        <w:tc>
          <w:tcPr>
            <w:tcW w:w="1134" w:type="dxa"/>
            <w:gridSpan w:val="2"/>
            <w:tcBorders>
              <w:bottom w:val="single" w:color="000000" w:sz="8" w:space="0"/>
            </w:tcBorders>
            <w:vAlign w:val="center"/>
          </w:tcPr>
          <w:p w14:paraId="3247DDE3">
            <w:pPr>
              <w:pStyle w:val="25"/>
              <w:ind w:firstLine="0" w:firstLineChars="0"/>
              <w:jc w:val="center"/>
              <w:rPr>
                <w:sz w:val="16"/>
                <w:szCs w:val="16"/>
              </w:rPr>
            </w:pPr>
            <w:r>
              <w:rPr>
                <w:rFonts w:hint="eastAsia"/>
                <w:sz w:val="16"/>
                <w:szCs w:val="16"/>
              </w:rPr>
              <w:t>按表</w:t>
            </w:r>
            <w:r>
              <w:rPr>
                <w:sz w:val="16"/>
                <w:szCs w:val="16"/>
              </w:rPr>
              <w:t>13</w:t>
            </w:r>
            <w:r>
              <w:rPr>
                <w:rFonts w:hint="eastAsia"/>
                <w:sz w:val="16"/>
                <w:szCs w:val="16"/>
              </w:rPr>
              <w:t>.规定</w:t>
            </w:r>
          </w:p>
        </w:tc>
        <w:tc>
          <w:tcPr>
            <w:tcW w:w="1197" w:type="dxa"/>
            <w:tcBorders>
              <w:bottom w:val="single" w:color="000000" w:sz="8" w:space="0"/>
              <w:right w:val="single" w:color="000000" w:sz="8" w:space="0"/>
            </w:tcBorders>
            <w:vAlign w:val="center"/>
          </w:tcPr>
          <w:p w14:paraId="0A181C25">
            <w:pPr>
              <w:pStyle w:val="25"/>
              <w:ind w:firstLine="0" w:firstLineChars="0"/>
              <w:jc w:val="center"/>
              <w:rPr>
                <w:sz w:val="16"/>
                <w:szCs w:val="16"/>
              </w:rPr>
            </w:pPr>
            <w:r>
              <w:rPr>
                <w:rFonts w:hint="eastAsia"/>
                <w:sz w:val="16"/>
                <w:szCs w:val="16"/>
              </w:rPr>
              <w:t>按表</w:t>
            </w:r>
            <w:r>
              <w:rPr>
                <w:sz w:val="16"/>
                <w:szCs w:val="16"/>
              </w:rPr>
              <w:t>14</w:t>
            </w:r>
            <w:r>
              <w:rPr>
                <w:rFonts w:hint="eastAsia"/>
                <w:sz w:val="16"/>
                <w:szCs w:val="16"/>
              </w:rPr>
              <w:t>.规定</w:t>
            </w:r>
          </w:p>
        </w:tc>
      </w:tr>
    </w:tbl>
    <w:p w14:paraId="42065D68">
      <w:pPr>
        <w:pStyle w:val="25"/>
      </w:pPr>
    </w:p>
    <w:p w14:paraId="093A41EA">
      <w:pPr>
        <w:pStyle w:val="96"/>
      </w:pPr>
    </w:p>
    <w:p w14:paraId="1AFF6D66">
      <w:pPr>
        <w:pStyle w:val="85"/>
      </w:pPr>
    </w:p>
    <w:p w14:paraId="73574C55">
      <w:pPr>
        <w:pStyle w:val="83"/>
        <w:numPr>
          <w:ilvl w:val="0"/>
          <w:numId w:val="0"/>
        </w:numPr>
        <w:spacing w:before="240"/>
      </w:pPr>
      <w:bookmarkStart w:id="90" w:name="_Toc102557407"/>
      <w:bookmarkStart w:id="91" w:name="_Hlk89179057"/>
      <w:r>
        <w:rPr>
          <w:rFonts w:hint="eastAsia"/>
        </w:rPr>
        <w:t xml:space="preserve">附 录 </w:t>
      </w:r>
      <w:r>
        <w:t>A</w:t>
      </w:r>
      <w:r>
        <w:br w:type="textWrapping"/>
      </w:r>
      <w:r>
        <w:rPr>
          <w:rFonts w:hint="eastAsia"/>
        </w:rPr>
        <w:t>（规范性）</w:t>
      </w:r>
      <w:bookmarkEnd w:id="90"/>
    </w:p>
    <w:p w14:paraId="77185B1A">
      <w:pPr>
        <w:pStyle w:val="25"/>
        <w:ind w:firstLine="0" w:firstLineChars="0"/>
        <w:jc w:val="center"/>
        <w:rPr>
          <w:rFonts w:ascii="黑体" w:eastAsia="黑体"/>
        </w:rPr>
      </w:pPr>
      <w:bookmarkStart w:id="92" w:name="_Hlk96681942"/>
      <w:r>
        <w:rPr>
          <w:rFonts w:hint="eastAsia" w:ascii="黑体" w:eastAsia="黑体"/>
        </w:rPr>
        <w:t>质量评价权重计算方法</w:t>
      </w:r>
    </w:p>
    <w:bookmarkEnd w:id="92"/>
    <w:p w14:paraId="7C6BE8F5">
      <w:pPr>
        <w:pStyle w:val="25"/>
        <w:ind w:firstLine="0" w:firstLineChars="0"/>
        <w:jc w:val="center"/>
        <w:rPr>
          <w:rFonts w:ascii="黑体" w:eastAsia="黑体"/>
        </w:rPr>
      </w:pPr>
    </w:p>
    <w:p w14:paraId="52D4EA3A">
      <w:pPr>
        <w:pStyle w:val="25"/>
        <w:spacing w:before="156" w:beforeLines="50" w:after="156" w:afterLines="50"/>
        <w:ind w:firstLine="0" w:firstLineChars="0"/>
        <w:rPr>
          <w:rFonts w:ascii="黑体" w:hAnsi="黑体" w:eastAsia="黑体"/>
        </w:rPr>
      </w:pPr>
      <w:bookmarkStart w:id="93" w:name="_Hlk89803599"/>
      <w:r>
        <w:rPr>
          <w:rFonts w:ascii="黑体" w:hAnsi="黑体" w:eastAsia="黑体"/>
        </w:rPr>
        <w:t xml:space="preserve">A.1 </w:t>
      </w:r>
      <w:r>
        <w:rPr>
          <w:rFonts w:hint="eastAsia" w:ascii="黑体" w:hAnsi="黑体" w:eastAsia="黑体"/>
        </w:rPr>
        <w:t>判断对比矩阵归一化处理</w:t>
      </w:r>
    </w:p>
    <w:bookmarkEnd w:id="93"/>
    <w:p w14:paraId="4D2A8A36">
      <w:pPr>
        <w:pStyle w:val="25"/>
        <w:ind w:firstLine="0" w:firstLineChars="0"/>
        <w:rPr>
          <w:rFonts w:ascii="黑体" w:hAnsi="黑体" w:eastAsia="黑体"/>
          <w:sz w:val="18"/>
          <w:szCs w:val="18"/>
        </w:rPr>
      </w:pPr>
      <w:r>
        <w:rPr>
          <w:rFonts w:hint="eastAsia"/>
        </w:rPr>
        <w:t>通过对5</w:t>
      </w:r>
      <w:r>
        <w:t xml:space="preserve">.2 </w:t>
      </w:r>
      <w:r>
        <w:rPr>
          <w:rFonts w:hint="eastAsia"/>
        </w:rPr>
        <w:t>图1</w:t>
      </w:r>
      <w:r>
        <w:t>.</w:t>
      </w:r>
      <w:r>
        <w:rPr>
          <w:rFonts w:hint="eastAsia"/>
        </w:rPr>
        <w:t>质量评价各维度数据判断对比矩阵</w:t>
      </w:r>
      <w:r>
        <w:rPr>
          <w:rFonts w:hint="eastAsia"/>
          <w:sz w:val="20"/>
        </w:rPr>
        <w:t>的各列求和得，并按以下公式对每一列进行归一化处理：</w:t>
      </w:r>
    </w:p>
    <w:p w14:paraId="74051CF8">
      <w:pPr>
        <w:spacing w:line="288" w:lineRule="auto"/>
        <w:ind w:firstLine="2560" w:firstLineChars="800"/>
        <w:rPr>
          <w:sz w:val="32"/>
          <w:szCs w:val="32"/>
        </w:rPr>
      </w:pPr>
      <w:r>
        <w:rPr>
          <w:sz w:val="32"/>
          <w:szCs w:val="32"/>
        </w:rPr>
        <w:t>B</w:t>
      </w:r>
      <w:r>
        <w:rPr>
          <w:rFonts w:ascii="Blackadder ITC" w:hAnsi="Blackadder ITC"/>
          <w:sz w:val="32"/>
          <w:szCs w:val="32"/>
        </w:rPr>
        <w:t>ij</w:t>
      </w:r>
      <w:r>
        <w:rPr>
          <w:sz w:val="32"/>
          <w:szCs w:val="32"/>
        </w:rPr>
        <w:t xml:space="preserve">  = </w:t>
      </w:r>
      <m:oMath>
        <m:f>
          <m:fPr>
            <m:ctrlPr>
              <w:rPr>
                <w:rFonts w:ascii="Cambria Math" w:hAnsi="Cambria Math"/>
                <w:sz w:val="32"/>
                <w:szCs w:val="32"/>
              </w:rPr>
            </m:ctrlPr>
          </m:fPr>
          <m:num>
            <m:r>
              <m:rPr>
                <m:sty m:val="p"/>
              </m:rPr>
              <w:rPr>
                <w:rFonts w:ascii="Cambria Math" w:hAnsi="Cambria Math"/>
                <w:sz w:val="32"/>
                <w:szCs w:val="32"/>
              </w:rPr>
              <m:t>D</m:t>
            </m:r>
            <m:r>
              <m:rPr/>
              <w:rPr>
                <w:rFonts w:ascii="Cambria Math" w:hAnsi="Cambria Math"/>
                <w:sz w:val="32"/>
                <w:szCs w:val="32"/>
              </w:rPr>
              <m:t>ij</m:t>
            </m:r>
            <m:ctrlPr>
              <w:rPr>
                <w:rFonts w:ascii="Cambria Math" w:hAnsi="Cambria Math"/>
                <w:sz w:val="32"/>
                <w:szCs w:val="32"/>
              </w:rPr>
            </m:ctrlPr>
          </m:num>
          <m:den>
            <m:r>
              <m:rPr>
                <m:sty m:val="p"/>
              </m:rPr>
              <w:rPr>
                <w:rFonts w:hint="eastAsia" w:ascii="Cambria Math" w:hAnsi="Cambria Math"/>
                <w:sz w:val="32"/>
                <w:szCs w:val="32"/>
              </w:rPr>
              <m:t>Σ</m:t>
            </m:r>
            <m:r>
              <m:rPr>
                <m:sty m:val="p"/>
              </m:rPr>
              <w:rPr>
                <w:rFonts w:ascii="Cambria Math" w:hAnsi="Cambria Math"/>
                <w:sz w:val="32"/>
                <w:szCs w:val="32"/>
              </w:rPr>
              <m:t>D</m:t>
            </m:r>
            <m:r>
              <m:rPr/>
              <w:rPr>
                <w:rFonts w:ascii="Cambria Math" w:hAnsi="Cambria Math"/>
                <w:sz w:val="32"/>
                <w:szCs w:val="32"/>
              </w:rPr>
              <m:t>i</m:t>
            </m:r>
            <m:ctrlPr>
              <w:rPr>
                <w:rFonts w:ascii="Cambria Math" w:hAnsi="Cambria Math"/>
                <w:sz w:val="32"/>
                <w:szCs w:val="32"/>
              </w:rPr>
            </m:ctrlPr>
          </m:den>
        </m:f>
      </m:oMath>
    </w:p>
    <w:p w14:paraId="033550C1">
      <w:pPr>
        <w:pStyle w:val="25"/>
        <w:ind w:firstLine="800" w:firstLineChars="400"/>
        <w:rPr>
          <w:sz w:val="20"/>
        </w:rPr>
      </w:pPr>
      <w:r>
        <w:rPr>
          <w:rFonts w:hint="eastAsia" w:ascii="Times New Roman"/>
          <w:kern w:val="2"/>
          <w:sz w:val="20"/>
        </w:rPr>
        <w:t>其中：</w:t>
      </w:r>
      <w:bookmarkStart w:id="94" w:name="_Hlk89802373"/>
      <w:r>
        <w:rPr>
          <w:rFonts w:ascii="Blackadder ITC" w:hAnsi="Blackadder ITC"/>
          <w:sz w:val="30"/>
          <w:szCs w:val="30"/>
        </w:rPr>
        <w:t xml:space="preserve">i </w:t>
      </w:r>
      <w:r>
        <w:rPr>
          <w:rFonts w:hint="eastAsia"/>
          <w:sz w:val="20"/>
        </w:rPr>
        <w:t>=</w:t>
      </w:r>
      <w:bookmarkStart w:id="95" w:name="_Hlk89801425"/>
      <w:r>
        <w:rPr>
          <w:sz w:val="20"/>
        </w:rPr>
        <w:t>1</w:t>
      </w:r>
      <w:r>
        <w:rPr>
          <w:rFonts w:hint="eastAsia"/>
          <w:sz w:val="20"/>
        </w:rPr>
        <w:t>、</w:t>
      </w:r>
      <w:r>
        <w:rPr>
          <w:sz w:val="20"/>
        </w:rPr>
        <w:t>2</w:t>
      </w:r>
      <w:r>
        <w:rPr>
          <w:rFonts w:hint="eastAsia"/>
          <w:sz w:val="20"/>
        </w:rPr>
        <w:t>、</w:t>
      </w:r>
      <w:r>
        <w:rPr>
          <w:sz w:val="20"/>
        </w:rPr>
        <w:t>3</w:t>
      </w:r>
      <w:r>
        <w:rPr>
          <w:rFonts w:hint="eastAsia"/>
          <w:sz w:val="20"/>
        </w:rPr>
        <w:t>、</w:t>
      </w:r>
      <w:r>
        <w:rPr>
          <w:sz w:val="20"/>
        </w:rPr>
        <w:t>4</w:t>
      </w:r>
      <w:r>
        <w:rPr>
          <w:rFonts w:hint="eastAsia"/>
          <w:sz w:val="20"/>
        </w:rPr>
        <w:t>、</w:t>
      </w:r>
      <w:bookmarkEnd w:id="95"/>
      <w:r>
        <w:rPr>
          <w:sz w:val="20"/>
        </w:rPr>
        <w:t xml:space="preserve">5 </w:t>
      </w:r>
      <w:bookmarkEnd w:id="94"/>
      <w:r>
        <w:rPr>
          <w:rFonts w:ascii="Blackadder ITC" w:hAnsi="Blackadder ITC"/>
          <w:sz w:val="30"/>
          <w:szCs w:val="30"/>
        </w:rPr>
        <w:t xml:space="preserve"> </w:t>
      </w:r>
    </w:p>
    <w:p w14:paraId="2F67BCED">
      <w:pPr>
        <w:pStyle w:val="25"/>
        <w:ind w:firstLine="400"/>
        <w:rPr>
          <w:sz w:val="20"/>
        </w:rPr>
      </w:pPr>
      <w:r>
        <w:rPr>
          <w:rFonts w:hint="eastAsia"/>
          <w:sz w:val="20"/>
        </w:rPr>
        <w:t>获得</w:t>
      </w:r>
      <w:r>
        <w:rPr>
          <w:sz w:val="20"/>
        </w:rPr>
        <w:t>B</w:t>
      </w:r>
      <w:r>
        <w:rPr>
          <w:sz w:val="20"/>
          <w:vertAlign w:val="subscript"/>
        </w:rPr>
        <w:t>ij</w:t>
      </w:r>
      <w:r>
        <w:rPr>
          <w:rFonts w:hint="eastAsia"/>
          <w:sz w:val="20"/>
        </w:rPr>
        <w:t>矩阵：</w:t>
      </w:r>
    </w:p>
    <w:p w14:paraId="39C7AE83">
      <w:pPr>
        <w:pStyle w:val="25"/>
        <w:ind w:firstLine="0" w:firstLineChars="0"/>
        <w:jc w:val="center"/>
        <w:rPr>
          <w:sz w:val="20"/>
        </w:rPr>
      </w:pPr>
      <w:r>
        <w:drawing>
          <wp:inline distT="0" distB="0" distL="0" distR="0">
            <wp:extent cx="2223770" cy="2096770"/>
            <wp:effectExtent l="0" t="0" r="508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35634" cy="2107934"/>
                    </a:xfrm>
                    <a:prstGeom prst="rect">
                      <a:avLst/>
                    </a:prstGeom>
                    <a:noFill/>
                    <a:ln>
                      <a:noFill/>
                    </a:ln>
                  </pic:spPr>
                </pic:pic>
              </a:graphicData>
            </a:graphic>
          </wp:inline>
        </w:drawing>
      </w:r>
    </w:p>
    <w:p w14:paraId="3C7E9CF9">
      <w:pPr>
        <w:pStyle w:val="25"/>
        <w:spacing w:before="156" w:beforeLines="50" w:after="156" w:afterLines="50"/>
        <w:ind w:firstLine="0" w:firstLineChars="0"/>
        <w:rPr>
          <w:rFonts w:ascii="黑体" w:hAnsi="黑体" w:eastAsia="黑体"/>
        </w:rPr>
      </w:pPr>
      <w:r>
        <w:rPr>
          <w:rFonts w:ascii="黑体" w:hAnsi="黑体" w:eastAsia="黑体"/>
        </w:rPr>
        <w:t xml:space="preserve">A.2 </w:t>
      </w:r>
      <w:r>
        <w:rPr>
          <w:rFonts w:hint="eastAsia" w:ascii="黑体" w:hAnsi="黑体" w:eastAsia="黑体"/>
        </w:rPr>
        <w:t>求权重系数</w:t>
      </w:r>
    </w:p>
    <w:p w14:paraId="6058DDF0">
      <w:pPr>
        <w:pStyle w:val="25"/>
        <w:spacing w:line="240" w:lineRule="atLeast"/>
      </w:pPr>
      <w:r>
        <w:rPr>
          <w:rFonts w:hint="eastAsia"/>
        </w:rPr>
        <w:t>对</w:t>
      </w:r>
      <w:r>
        <w:t>B</w:t>
      </w:r>
      <w:r>
        <w:rPr>
          <w:vertAlign w:val="subscript"/>
        </w:rPr>
        <w:t>ij</w:t>
      </w:r>
      <w:r>
        <w:rPr>
          <w:rFonts w:hint="eastAsia"/>
        </w:rPr>
        <w:t>矩阵每一行求和，即:</w:t>
      </w:r>
      <w:bookmarkStart w:id="96" w:name="_Hlk89803646"/>
      <w:bookmarkStart w:id="97" w:name="_Hlk89803307"/>
      <w:r>
        <w:rPr>
          <w:rFonts w:ascii="Eras Light ITC" w:hAnsi="Eras Light ITC"/>
          <w:b/>
          <w:bCs/>
          <w:sz w:val="24"/>
          <w:szCs w:val="24"/>
        </w:rPr>
        <w:t>V</w:t>
      </w:r>
      <w:bookmarkEnd w:id="96"/>
      <w:r>
        <w:rPr>
          <w:b/>
          <w:bCs/>
          <w:sz w:val="24"/>
          <w:szCs w:val="24"/>
        </w:rPr>
        <w:t>=</w:t>
      </w:r>
      <w:bookmarkEnd w:id="97"/>
      <w:r>
        <w:rPr>
          <w:rFonts w:hint="eastAsia"/>
          <w:b/>
          <w:bCs/>
          <w:sz w:val="24"/>
          <w:szCs w:val="24"/>
        </w:rPr>
        <w:t>Σ</w:t>
      </w:r>
      <w:r>
        <w:rPr>
          <w:b/>
          <w:bCs/>
          <w:sz w:val="24"/>
          <w:szCs w:val="24"/>
        </w:rPr>
        <w:t>B</w:t>
      </w:r>
      <w:r>
        <w:rPr>
          <w:rFonts w:hint="eastAsia" w:ascii="Blackadder ITC" w:hAnsi="Blackadder ITC"/>
          <w:b/>
          <w:bCs/>
          <w:sz w:val="24"/>
          <w:szCs w:val="24"/>
          <w:vertAlign w:val="subscript"/>
        </w:rPr>
        <w:t>i</w:t>
      </w:r>
      <w:r>
        <w:rPr>
          <w:rFonts w:hint="eastAsia" w:ascii="Blackadder ITC" w:hAnsi="Blackadder ITC"/>
          <w:sz w:val="24"/>
          <w:szCs w:val="24"/>
        </w:rPr>
        <w:t>，</w:t>
      </w:r>
      <w:r>
        <w:rPr>
          <w:rFonts w:hint="eastAsia"/>
        </w:rPr>
        <w:t>得出矩阵：</w:t>
      </w:r>
    </w:p>
    <w:p w14:paraId="4C472617">
      <w:pPr>
        <w:pStyle w:val="25"/>
        <w:spacing w:line="240" w:lineRule="atLeast"/>
        <w:ind w:firstLine="0" w:firstLineChars="0"/>
        <w:jc w:val="center"/>
      </w:pPr>
      <w:r>
        <w:rPr>
          <w:rFonts w:hint="eastAsia"/>
        </w:rPr>
        <w:drawing>
          <wp:inline distT="0" distB="0" distL="0" distR="0">
            <wp:extent cx="2241550" cy="1810385"/>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260311" cy="1825672"/>
                    </a:xfrm>
                    <a:prstGeom prst="rect">
                      <a:avLst/>
                    </a:prstGeom>
                    <a:noFill/>
                    <a:ln>
                      <a:noFill/>
                    </a:ln>
                  </pic:spPr>
                </pic:pic>
              </a:graphicData>
            </a:graphic>
          </wp:inline>
        </w:drawing>
      </w:r>
    </w:p>
    <w:p w14:paraId="608D1B64">
      <w:pPr>
        <w:pStyle w:val="25"/>
        <w:spacing w:before="156" w:beforeLines="50" w:line="240" w:lineRule="atLeast"/>
      </w:pPr>
      <w:bookmarkStart w:id="98" w:name="_Hlk89803484"/>
      <w:bookmarkStart w:id="99" w:name="_Hlk96679861"/>
      <w:bookmarkStart w:id="100" w:name="_Hlk89803354"/>
      <w:r>
        <w:rPr>
          <w:rFonts w:hint="eastAsia"/>
        </w:rPr>
        <w:t>其中，最右一列为特征向量。</w:t>
      </w:r>
    </w:p>
    <w:bookmarkEnd w:id="98"/>
    <w:bookmarkEnd w:id="99"/>
    <w:bookmarkEnd w:id="100"/>
    <w:p w14:paraId="2060BFC5">
      <w:pPr>
        <w:pStyle w:val="25"/>
        <w:spacing w:before="156" w:beforeLines="50" w:after="156" w:afterLines="50"/>
        <w:ind w:firstLine="513" w:firstLineChars="213"/>
        <w:rPr>
          <w:sz w:val="20"/>
        </w:rPr>
      </w:pPr>
      <w:r>
        <w:rPr>
          <w:rFonts w:ascii="Eras Light ITC" w:hAnsi="Eras Light ITC"/>
          <w:b/>
          <w:bCs/>
          <w:sz w:val="24"/>
          <w:szCs w:val="24"/>
        </w:rPr>
        <w:t>V</w:t>
      </w:r>
      <w:r>
        <w:rPr>
          <w:rFonts w:hint="eastAsia"/>
          <w:sz w:val="20"/>
        </w:rPr>
        <w:t>求和：Σ</w:t>
      </w:r>
      <w:r>
        <w:rPr>
          <w:rFonts w:ascii="Eras Light ITC" w:hAnsi="Eras Light ITC"/>
          <w:b/>
          <w:bCs/>
          <w:sz w:val="24"/>
          <w:szCs w:val="24"/>
        </w:rPr>
        <w:t xml:space="preserve">V </w:t>
      </w:r>
      <w:r>
        <w:rPr>
          <w:rFonts w:ascii="Eras Light ITC" w:hAnsi="Eras Light ITC"/>
          <w:b/>
          <w:bCs/>
          <w:sz w:val="24"/>
          <w:szCs w:val="24"/>
          <w:vertAlign w:val="subscript"/>
        </w:rPr>
        <w:t>i</w:t>
      </w:r>
      <w:r>
        <w:rPr>
          <w:b/>
          <w:bCs/>
          <w:sz w:val="24"/>
          <w:szCs w:val="24"/>
        </w:rPr>
        <w:t>=</w:t>
      </w:r>
      <w:r>
        <w:rPr>
          <w:sz w:val="20"/>
        </w:rPr>
        <w:t>5</w:t>
      </w:r>
    </w:p>
    <w:p w14:paraId="3AA9A662">
      <w:pPr>
        <w:pStyle w:val="25"/>
        <w:tabs>
          <w:tab w:val="left" w:pos="6980"/>
          <w:tab w:val="clear" w:pos="4201"/>
          <w:tab w:val="clear" w:pos="9298"/>
        </w:tabs>
      </w:pPr>
      <w:r>
        <w:rPr>
          <w:rFonts w:hint="eastAsia"/>
        </w:rPr>
        <w:t>最后按以下公式计算各维度权重系数：</w:t>
      </w:r>
      <w:r>
        <w:tab/>
      </w:r>
    </w:p>
    <w:p w14:paraId="1960D1D3">
      <w:pPr>
        <w:ind w:firstLine="3520" w:firstLineChars="1100"/>
        <w:rPr>
          <w:sz w:val="32"/>
          <w:szCs w:val="32"/>
        </w:rPr>
      </w:pPr>
      <w:r>
        <w:rPr>
          <w:sz w:val="32"/>
          <w:szCs w:val="32"/>
        </w:rPr>
        <w:t>W</w:t>
      </w:r>
      <w:r>
        <w:rPr>
          <w:rFonts w:ascii="Blackadder ITC" w:hAnsi="Blackadder ITC"/>
          <w:sz w:val="32"/>
          <w:szCs w:val="32"/>
        </w:rPr>
        <w:t>i</w:t>
      </w:r>
      <w:r>
        <w:rPr>
          <w:sz w:val="32"/>
          <w:szCs w:val="32"/>
        </w:rPr>
        <w:t xml:space="preserve"> = </w:t>
      </w:r>
      <m:oMath>
        <m:f>
          <m:fPr>
            <m:ctrlPr>
              <w:rPr>
                <w:rFonts w:ascii="Cambria Math" w:hAnsi="Cambria Math"/>
                <w:sz w:val="32"/>
                <w:szCs w:val="32"/>
              </w:rPr>
            </m:ctrlPr>
          </m:fPr>
          <m:num>
            <m:r>
              <m:rPr>
                <m:sty m:val="p"/>
              </m:rPr>
              <w:rPr>
                <w:rFonts w:ascii="Cambria Math" w:hAnsi="Cambria Math"/>
                <w:sz w:val="32"/>
                <w:szCs w:val="32"/>
              </w:rPr>
              <m:t>V</m:t>
            </m:r>
            <m:r>
              <m:rPr/>
              <w:rPr>
                <w:rFonts w:ascii="Cambria Math" w:hAnsi="Cambria Math"/>
                <w:sz w:val="32"/>
                <w:szCs w:val="32"/>
              </w:rPr>
              <m:t>i</m:t>
            </m:r>
            <m:ctrlPr>
              <w:rPr>
                <w:rFonts w:ascii="Cambria Math" w:hAnsi="Cambria Math"/>
                <w:sz w:val="32"/>
                <w:szCs w:val="32"/>
              </w:rPr>
            </m:ctrlPr>
          </m:num>
          <m:den>
            <m:r>
              <m:rPr>
                <m:sty m:val="p"/>
              </m:rPr>
              <w:rPr>
                <w:rFonts w:ascii="Cambria Math" w:hAnsi="Cambria Math"/>
                <w:sz w:val="32"/>
                <w:szCs w:val="32"/>
              </w:rPr>
              <m:t>ΣV</m:t>
            </m:r>
            <m:r>
              <m:rPr/>
              <w:rPr>
                <w:rFonts w:ascii="Cambria Math" w:hAnsi="Cambria Math"/>
                <w:sz w:val="32"/>
                <w:szCs w:val="32"/>
              </w:rPr>
              <m:t>i</m:t>
            </m:r>
            <m:ctrlPr>
              <w:rPr>
                <w:rFonts w:ascii="Cambria Math" w:hAnsi="Cambria Math"/>
                <w:sz w:val="32"/>
                <w:szCs w:val="32"/>
              </w:rPr>
            </m:ctrlPr>
          </m:den>
        </m:f>
      </m:oMath>
    </w:p>
    <w:p w14:paraId="325E456C">
      <w:pPr>
        <w:widowControl/>
        <w:tabs>
          <w:tab w:val="center" w:pos="4201"/>
          <w:tab w:val="right" w:leader="dot" w:pos="9298"/>
        </w:tabs>
        <w:autoSpaceDE w:val="0"/>
        <w:autoSpaceDN w:val="0"/>
        <w:ind w:firstLine="800" w:firstLineChars="400"/>
        <w:rPr>
          <w:rFonts w:ascii="宋体"/>
          <w:kern w:val="0"/>
          <w:szCs w:val="20"/>
        </w:rPr>
      </w:pPr>
      <w:r>
        <w:rPr>
          <w:sz w:val="20"/>
          <w:szCs w:val="20"/>
        </w:rPr>
        <w:t>其中</w:t>
      </w:r>
      <w:r>
        <w:rPr>
          <w:rFonts w:hint="eastAsia"/>
          <w:sz w:val="20"/>
          <w:szCs w:val="20"/>
        </w:rPr>
        <w:t>：</w:t>
      </w:r>
      <w:r>
        <w:rPr>
          <w:rFonts w:hint="eastAsia" w:ascii="Blackadder ITC" w:hAnsi="Blackadder ITC"/>
          <w:kern w:val="0"/>
          <w:sz w:val="30"/>
          <w:szCs w:val="30"/>
        </w:rPr>
        <w:t xml:space="preserve">i = </w:t>
      </w:r>
      <w:r>
        <w:rPr>
          <w:rFonts w:hint="eastAsia" w:ascii="宋体"/>
          <w:kern w:val="0"/>
          <w:szCs w:val="20"/>
        </w:rPr>
        <w:t xml:space="preserve">1、2、3、4、5 </w:t>
      </w:r>
    </w:p>
    <w:p w14:paraId="659A1BCB">
      <w:pPr>
        <w:pStyle w:val="25"/>
        <w:rPr>
          <w:rFonts w:asciiTheme="majorEastAsia" w:hAnsiTheme="majorEastAsia" w:eastAsiaTheme="majorEastAsia"/>
          <w:sz w:val="20"/>
        </w:rPr>
      </w:pPr>
      <w:r>
        <w:rPr>
          <w:rFonts w:hint="eastAsia"/>
        </w:rPr>
        <w:t>得</w:t>
      </w:r>
      <w:bookmarkStart w:id="101" w:name="_Hlk89804216"/>
      <w:r>
        <w:rPr>
          <w:rFonts w:asciiTheme="majorHAnsi" w:hAnsiTheme="majorHAnsi"/>
          <w:sz w:val="22"/>
          <w:szCs w:val="22"/>
        </w:rPr>
        <w:t>W</w:t>
      </w:r>
      <w:r>
        <w:rPr>
          <w:rFonts w:hAnsi="宋体"/>
          <w:sz w:val="22"/>
          <w:szCs w:val="22"/>
          <w:vertAlign w:val="subscript"/>
        </w:rPr>
        <w:t>1</w:t>
      </w:r>
      <w:r>
        <w:rPr>
          <w:rFonts w:hint="eastAsia" w:asciiTheme="majorEastAsia" w:hAnsiTheme="majorEastAsia" w:eastAsiaTheme="majorEastAsia"/>
          <w:sz w:val="20"/>
        </w:rPr>
        <w:t>=</w:t>
      </w:r>
      <w:bookmarkEnd w:id="101"/>
      <w:r>
        <w:rPr>
          <w:rFonts w:asciiTheme="majorEastAsia" w:hAnsiTheme="majorEastAsia" w:eastAsiaTheme="majorEastAsia"/>
          <w:sz w:val="20"/>
        </w:rPr>
        <w:t>49.70%</w:t>
      </w:r>
      <w:r>
        <w:rPr>
          <w:rFonts w:hint="eastAsia" w:asciiTheme="majorEastAsia" w:hAnsiTheme="majorEastAsia" w:eastAsiaTheme="majorEastAsia"/>
          <w:sz w:val="20"/>
        </w:rPr>
        <w:t>；</w:t>
      </w:r>
      <w:r>
        <w:rPr>
          <w:rFonts w:asciiTheme="majorHAnsi" w:hAnsiTheme="majorHAnsi"/>
          <w:sz w:val="22"/>
          <w:szCs w:val="22"/>
        </w:rPr>
        <w:t>W</w:t>
      </w:r>
      <w:r>
        <w:rPr>
          <w:rFonts w:hAnsi="宋体"/>
          <w:sz w:val="22"/>
          <w:szCs w:val="22"/>
          <w:vertAlign w:val="subscript"/>
        </w:rPr>
        <w:t>2</w:t>
      </w:r>
      <w:r>
        <w:rPr>
          <w:rFonts w:hint="eastAsia" w:asciiTheme="majorEastAsia" w:hAnsiTheme="majorEastAsia" w:eastAsiaTheme="majorEastAsia"/>
          <w:sz w:val="20"/>
        </w:rPr>
        <w:t>=</w:t>
      </w:r>
      <w:r>
        <w:rPr>
          <w:rFonts w:asciiTheme="majorEastAsia" w:hAnsiTheme="majorEastAsia" w:eastAsiaTheme="majorEastAsia"/>
          <w:sz w:val="20"/>
        </w:rPr>
        <w:t>20.23%</w:t>
      </w:r>
      <w:r>
        <w:rPr>
          <w:rFonts w:hint="eastAsia" w:asciiTheme="majorEastAsia" w:hAnsiTheme="majorEastAsia" w:eastAsiaTheme="majorEastAsia"/>
          <w:sz w:val="20"/>
        </w:rPr>
        <w:t>；</w:t>
      </w:r>
      <w:r>
        <w:rPr>
          <w:rFonts w:asciiTheme="majorHAnsi" w:hAnsiTheme="majorHAnsi"/>
          <w:sz w:val="22"/>
          <w:szCs w:val="22"/>
        </w:rPr>
        <w:t>W</w:t>
      </w:r>
      <w:r>
        <w:rPr>
          <w:rFonts w:hAnsi="宋体"/>
          <w:sz w:val="22"/>
          <w:szCs w:val="22"/>
          <w:vertAlign w:val="subscript"/>
        </w:rPr>
        <w:t>3</w:t>
      </w:r>
      <w:r>
        <w:rPr>
          <w:rFonts w:hint="eastAsia" w:asciiTheme="majorEastAsia" w:hAnsiTheme="majorEastAsia" w:eastAsiaTheme="majorEastAsia"/>
          <w:sz w:val="20"/>
        </w:rPr>
        <w:t>=</w:t>
      </w:r>
      <w:r>
        <w:rPr>
          <w:rFonts w:asciiTheme="majorEastAsia" w:hAnsiTheme="majorEastAsia" w:eastAsiaTheme="majorEastAsia"/>
          <w:sz w:val="20"/>
        </w:rPr>
        <w:t>15.89%</w:t>
      </w:r>
      <w:r>
        <w:rPr>
          <w:rFonts w:hint="eastAsia" w:asciiTheme="majorEastAsia" w:hAnsiTheme="majorEastAsia" w:eastAsiaTheme="majorEastAsia"/>
          <w:sz w:val="20"/>
        </w:rPr>
        <w:t>；</w:t>
      </w:r>
      <w:r>
        <w:rPr>
          <w:rFonts w:asciiTheme="majorHAnsi" w:hAnsiTheme="majorHAnsi"/>
          <w:sz w:val="22"/>
          <w:szCs w:val="22"/>
        </w:rPr>
        <w:t>W</w:t>
      </w:r>
      <w:r>
        <w:rPr>
          <w:rFonts w:hAnsi="宋体"/>
          <w:sz w:val="22"/>
          <w:szCs w:val="22"/>
          <w:vertAlign w:val="subscript"/>
        </w:rPr>
        <w:t>4</w:t>
      </w:r>
      <w:r>
        <w:rPr>
          <w:rFonts w:hint="eastAsia" w:asciiTheme="majorEastAsia" w:hAnsiTheme="majorEastAsia" w:eastAsiaTheme="majorEastAsia"/>
          <w:sz w:val="20"/>
        </w:rPr>
        <w:t>=</w:t>
      </w:r>
      <w:r>
        <w:rPr>
          <w:rFonts w:asciiTheme="majorEastAsia" w:hAnsiTheme="majorEastAsia" w:eastAsiaTheme="majorEastAsia"/>
          <w:sz w:val="20"/>
        </w:rPr>
        <w:t>10.20%</w:t>
      </w:r>
      <w:r>
        <w:rPr>
          <w:rFonts w:hint="eastAsia" w:asciiTheme="majorEastAsia" w:hAnsiTheme="majorEastAsia" w:eastAsiaTheme="majorEastAsia"/>
          <w:sz w:val="20"/>
        </w:rPr>
        <w:t>；</w:t>
      </w:r>
      <w:r>
        <w:rPr>
          <w:rFonts w:asciiTheme="majorHAnsi" w:hAnsiTheme="majorHAnsi"/>
          <w:sz w:val="22"/>
          <w:szCs w:val="22"/>
        </w:rPr>
        <w:t>W</w:t>
      </w:r>
      <w:r>
        <w:rPr>
          <w:rFonts w:hAnsi="宋体"/>
          <w:sz w:val="22"/>
          <w:szCs w:val="22"/>
          <w:vertAlign w:val="subscript"/>
        </w:rPr>
        <w:t>5</w:t>
      </w:r>
      <w:r>
        <w:rPr>
          <w:rFonts w:hint="eastAsia" w:asciiTheme="majorEastAsia" w:hAnsiTheme="majorEastAsia" w:eastAsiaTheme="majorEastAsia"/>
          <w:sz w:val="20"/>
        </w:rPr>
        <w:t>=</w:t>
      </w:r>
      <w:r>
        <w:rPr>
          <w:rFonts w:asciiTheme="majorEastAsia" w:hAnsiTheme="majorEastAsia" w:eastAsiaTheme="majorEastAsia"/>
          <w:sz w:val="20"/>
        </w:rPr>
        <w:t>3.98%</w:t>
      </w:r>
      <w:r>
        <w:rPr>
          <w:rFonts w:hint="eastAsia" w:asciiTheme="majorEastAsia" w:hAnsiTheme="majorEastAsia" w:eastAsiaTheme="majorEastAsia"/>
          <w:sz w:val="20"/>
        </w:rPr>
        <w:t>。</w:t>
      </w:r>
    </w:p>
    <w:p w14:paraId="2A51029E">
      <w:pPr>
        <w:spacing w:after="312" w:afterLines="100"/>
        <w:jc w:val="center"/>
        <w:rPr>
          <w:rFonts w:hAnsi="黑体"/>
        </w:rPr>
      </w:pPr>
      <w:r>
        <w:br w:type="page"/>
      </w:r>
      <w:bookmarkEnd w:id="91"/>
      <w:bookmarkStart w:id="102" w:name="_Hlk102552301"/>
      <w:r>
        <w:rPr>
          <w:rFonts w:hint="eastAsia" w:ascii="黑体" w:hAnsi="黑体" w:eastAsia="黑体"/>
        </w:rPr>
        <w:t>参</w:t>
      </w:r>
      <w:bookmarkEnd w:id="102"/>
      <w:r>
        <w:rPr>
          <w:rFonts w:hint="eastAsia" w:ascii="黑体" w:hAnsi="黑体" w:eastAsia="黑体"/>
        </w:rPr>
        <w:t>考文献</w:t>
      </w:r>
    </w:p>
    <w:p w14:paraId="70F58D19">
      <w:pPr>
        <w:pStyle w:val="25"/>
      </w:pPr>
      <w:bookmarkStart w:id="103" w:name="_Hlk100440025"/>
      <w:r>
        <w:rPr>
          <w:rFonts w:hint="eastAsia"/>
        </w:rPr>
        <w:t>[1] 《国家电网公司设备材料抽检大纲》</w:t>
      </w:r>
    </w:p>
    <w:p w14:paraId="299CF447">
      <w:pPr>
        <w:pStyle w:val="25"/>
      </w:pPr>
      <w:bookmarkStart w:id="104" w:name="_Hlk100439604"/>
      <w:r>
        <w:rPr>
          <w:rFonts w:hint="eastAsia"/>
        </w:rPr>
        <w:t>[2]</w:t>
      </w:r>
      <w:bookmarkEnd w:id="104"/>
      <w:r>
        <w:rPr>
          <w:rFonts w:hint="eastAsia"/>
        </w:rPr>
        <w:t xml:space="preserve"> 《中国南方电网有限责任公司设备到货抽检标准》</w:t>
      </w:r>
    </w:p>
    <w:p w14:paraId="5BCCCC63">
      <w:pPr>
        <w:pStyle w:val="25"/>
      </w:pPr>
      <w:bookmarkStart w:id="105" w:name="_Hlk100439634"/>
      <w:r>
        <w:t xml:space="preserve">[3]  </w:t>
      </w:r>
      <w:r>
        <w:rPr>
          <w:rFonts w:hint="eastAsia"/>
        </w:rPr>
        <w:t>梁杰，侯志伟.AHP法专家调查法与神经网络相结合的综合定权方法[J].系统工程理论与实践，2001，21(3):59-63.）</w:t>
      </w:r>
    </w:p>
    <w:bookmarkEnd w:id="105"/>
    <w:p w14:paraId="4986C867">
      <w:pPr>
        <w:spacing w:after="0" w:afterAutospacing="0"/>
        <w:ind w:firstLine="420" w:firstLineChars="200"/>
        <w:rPr>
          <w:kern w:val="0"/>
        </w:rPr>
      </w:pPr>
      <w:r>
        <w:rPr>
          <w:rFonts w:ascii="宋体"/>
          <w:kern w:val="0"/>
          <w:szCs w:val="20"/>
        </w:rPr>
        <w:t>[</w:t>
      </w:r>
      <w:r>
        <w:rPr>
          <w:rFonts w:ascii="宋体"/>
          <w:kern w:val="0"/>
          <w:szCs w:val="20"/>
        </w:rPr>
        <w:t>4</w:t>
      </w:r>
      <w:r>
        <w:rPr>
          <w:rFonts w:ascii="宋体"/>
          <w:kern w:val="0"/>
          <w:szCs w:val="20"/>
        </w:rPr>
        <w:t xml:space="preserve">] </w:t>
      </w:r>
      <w:r>
        <w:rPr>
          <w:rFonts w:hint="eastAsia"/>
        </w:rPr>
        <w:t>双同科，田佳林，刘学等</w:t>
      </w:r>
      <w:r>
        <w:t>.</w:t>
      </w:r>
      <w:r>
        <w:rPr>
          <w:rFonts w:hint="eastAsia"/>
        </w:rPr>
        <w:t>一种基于改进</w:t>
      </w:r>
      <w:r>
        <w:t>AHP</w:t>
      </w:r>
      <w:r>
        <w:rPr>
          <w:rFonts w:hint="eastAsia"/>
        </w:rPr>
        <w:t>的指标权重确定方法</w:t>
      </w:r>
      <w:r>
        <w:t>[J].</w:t>
      </w:r>
      <w:r>
        <w:rPr>
          <w:rFonts w:hint="eastAsia"/>
        </w:rPr>
        <w:t>中国西部科技，</w:t>
      </w:r>
      <w:r>
        <w:t>2011</w:t>
      </w:r>
      <w:r>
        <w:rPr>
          <w:rFonts w:hint="eastAsia"/>
        </w:rPr>
        <w:t>（</w:t>
      </w:r>
      <w:r>
        <w:t>32</w:t>
      </w:r>
      <w:r>
        <w:rPr>
          <w:rFonts w:hint="eastAsia"/>
        </w:rPr>
        <w:t>）</w:t>
      </w:r>
    </w:p>
    <w:p w14:paraId="52C30590">
      <w:r>
        <w:t>       </w:t>
      </w:r>
      <w:r>
        <w:rPr>
          <w:rFonts w:ascii="宋体"/>
          <w:kern w:val="0"/>
          <w:szCs w:val="20"/>
        </w:rPr>
        <w:t> [</w:t>
      </w:r>
      <w:r>
        <w:rPr>
          <w:rFonts w:ascii="宋体"/>
          <w:kern w:val="0"/>
          <w:szCs w:val="20"/>
        </w:rPr>
        <w:t>5</w:t>
      </w:r>
      <w:r>
        <w:rPr>
          <w:rFonts w:ascii="宋体"/>
          <w:kern w:val="0"/>
          <w:szCs w:val="20"/>
        </w:rPr>
        <w:t>]</w:t>
      </w:r>
      <w:r>
        <w:t xml:space="preserve"> </w:t>
      </w:r>
      <w:r>
        <w:rPr>
          <w:rFonts w:hint="eastAsia"/>
        </w:rPr>
        <w:t>夏萍，汪凯，李宁秀等</w:t>
      </w:r>
      <w:r>
        <w:t>.</w:t>
      </w:r>
      <w:r>
        <w:rPr>
          <w:rFonts w:hint="eastAsia"/>
        </w:rPr>
        <w:t>层次分析法中求权重的一种改进</w:t>
      </w:r>
      <w:r>
        <w:t>[J].</w:t>
      </w:r>
      <w:r>
        <w:rPr>
          <w:rFonts w:hint="eastAsia"/>
        </w:rPr>
        <w:t>中国卫生统计，</w:t>
      </w:r>
      <w:r>
        <w:t>2011</w:t>
      </w:r>
      <w:r>
        <w:rPr>
          <w:rFonts w:hint="eastAsia"/>
        </w:rPr>
        <w:t>（</w:t>
      </w:r>
      <w:r>
        <w:t>02</w:t>
      </w:r>
      <w:r>
        <w:rPr>
          <w:rFonts w:hint="eastAsia"/>
        </w:rPr>
        <w:t>）</w:t>
      </w:r>
    </w:p>
    <w:p w14:paraId="1D6DA0DC">
      <w:pPr>
        <w:spacing w:after="0" w:afterAutospacing="0"/>
      </w:pPr>
      <w:r>
        <w:rPr>
          <w:rFonts w:hint="eastAsia"/>
        </w:rPr>
        <w:t xml:space="preserve"> </w:t>
      </w:r>
      <w:r>
        <w:t xml:space="preserve">  </w:t>
      </w:r>
      <w:r>
        <w:rPr>
          <w:rFonts w:ascii="宋体"/>
          <w:kern w:val="0"/>
          <w:szCs w:val="20"/>
        </w:rPr>
        <w:t xml:space="preserve"> [6]</w:t>
      </w:r>
      <w:r>
        <w:t xml:space="preserve"> </w:t>
      </w:r>
      <w:r>
        <w:rPr>
          <w:rFonts w:hint="eastAsia"/>
        </w:rPr>
        <w:t>郭亚军.综合评价理论与方法[M].北京:科学出版社，2002</w:t>
      </w:r>
    </w:p>
    <w:bookmarkEnd w:id="103"/>
    <w:p w14:paraId="0961C6A1">
      <w:pPr>
        <w:pStyle w:val="25"/>
        <w:ind w:firstLine="420" w:firstLineChars="200"/>
      </w:pPr>
    </w:p>
    <w:p w14:paraId="6A7F40C4">
      <w:pPr>
        <w:pStyle w:val="126"/>
        <w:framePr w:wrap="around"/>
      </w:pPr>
      <w:r>
        <w:t>_________________________________</w:t>
      </w:r>
    </w:p>
    <w:sectPr>
      <w:pgSz w:w="11906" w:h="16838"/>
      <w:pgMar w:top="426" w:right="1134" w:bottom="1134" w:left="1418" w:header="1418" w:footer="1134" w:gutter="0"/>
      <w:pgNumType w:start="1"/>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Gabriola">
    <w:panose1 w:val="04040605051002020D02"/>
    <w:charset w:val="00"/>
    <w:family w:val="decorative"/>
    <w:pitch w:val="default"/>
    <w:sig w:usb0="E00002EF" w:usb1="5000204B" w:usb2="00000000" w:usb3="00000000" w:csb0="2000009F" w:csb1="00000000"/>
  </w:font>
  <w:font w:name="Blackadder ITC">
    <w:panose1 w:val="04020505051007020D02"/>
    <w:charset w:val="00"/>
    <w:family w:val="decorative"/>
    <w:pitch w:val="default"/>
    <w:sig w:usb0="00000003" w:usb1="00000000" w:usb2="00000000" w:usb3="00000000" w:csb0="20000001" w:csb1="00000000"/>
  </w:font>
  <w:font w:name="Cambria Math">
    <w:panose1 w:val="02040503050406030204"/>
    <w:charset w:val="00"/>
    <w:family w:val="roman"/>
    <w:pitch w:val="default"/>
    <w:sig w:usb0="E00006FF" w:usb1="420024FF" w:usb2="02000000" w:usb3="00000000" w:csb0="2000019F" w:csb1="00000000"/>
  </w:font>
  <w:font w:name="Eras Light ITC">
    <w:panose1 w:val="020B0402030504020804"/>
    <w:charset w:val="00"/>
    <w:family w:val="swiss"/>
    <w:pitch w:val="default"/>
    <w:sig w:usb0="00000003" w:usb1="00000000" w:usb2="00000000" w:usb3="00000000" w:csb0="2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DC301">
    <w:pPr>
      <w:pStyle w:val="68"/>
    </w:pPr>
    <w:r>
      <w:rPr>
        <w:rStyle w:val="38"/>
      </w:rPr>
      <w:fldChar w:fldCharType="begin"/>
    </w:r>
    <w:r>
      <w:rPr>
        <w:rStyle w:val="38"/>
      </w:rPr>
      <w:instrText xml:space="preserve"> PAGE </w:instrText>
    </w:r>
    <w:r>
      <w:rPr>
        <w:rStyle w:val="38"/>
      </w:rPr>
      <w:fldChar w:fldCharType="separate"/>
    </w:r>
    <w:r>
      <w:rPr>
        <w:rStyle w:val="38"/>
      </w:rPr>
      <w:t>2</w:t>
    </w:r>
    <w:r>
      <w:rPr>
        <w:rStyle w:val="3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E2CBD">
    <w:pPr>
      <w:pStyle w:val="43"/>
    </w:pPr>
    <w:r>
      <w:fldChar w:fldCharType="begin"/>
    </w:r>
    <w:r>
      <w:instrText xml:space="preserve"> PAGE  \* MERGEFORMAT </w:instrText>
    </w:r>
    <w:r>
      <w:fldChar w:fldCharType="separate"/>
    </w:r>
    <w: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E9CBF">
    <w:pPr>
      <w:pStyle w:val="69"/>
      <w:jc w:val="both"/>
    </w:pPr>
    <w:r>
      <w:t>T/GSEE XXX</w:t>
    </w:r>
    <w:r>
      <w:rPr>
        <w:rFonts w:hint="eastAsia"/>
      </w:rPr>
      <w:t>-</w:t>
    </w:r>
    <w:r>
      <w:t>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44DCE">
    <w:pPr>
      <w:pStyle w:val="44"/>
    </w:pPr>
    <w:r>
      <w:t>T/GSEE XXX</w:t>
    </w:r>
    <w:r>
      <w:rPr>
        <w:rFonts w:hint="eastAsia"/>
      </w:rPr>
      <w:t>-</w:t>
    </w:r>
    <w:r>
      <w:t>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58"/>
      <w:suff w:val="nothing"/>
      <w:lvlText w:val="注%1："/>
      <w:lvlJc w:val="left"/>
      <w:pPr>
        <w:ind w:left="5632" w:hanging="448"/>
      </w:pPr>
      <w:rPr>
        <w:rFonts w:hint="eastAsia" w:ascii="黑体" w:eastAsia="黑体"/>
        <w:b w:val="0"/>
        <w:i w:val="0"/>
        <w:sz w:val="18"/>
        <w:lang w:val="en-US"/>
      </w:rPr>
    </w:lvl>
    <w:lvl w:ilvl="1" w:tentative="0">
      <w:start w:val="1"/>
      <w:numFmt w:val="lowerLetter"/>
      <w:lvlText w:val="%2)"/>
      <w:lvlJc w:val="left"/>
      <w:pPr>
        <w:tabs>
          <w:tab w:val="left" w:pos="4821"/>
        </w:tabs>
        <w:ind w:left="5813" w:hanging="629"/>
      </w:pPr>
      <w:rPr>
        <w:rFonts w:hint="eastAsia"/>
      </w:rPr>
    </w:lvl>
    <w:lvl w:ilvl="2" w:tentative="0">
      <w:start w:val="1"/>
      <w:numFmt w:val="lowerRoman"/>
      <w:lvlText w:val="%3."/>
      <w:lvlJc w:val="right"/>
      <w:pPr>
        <w:tabs>
          <w:tab w:val="left" w:pos="4821"/>
        </w:tabs>
        <w:ind w:left="5813" w:hanging="629"/>
      </w:pPr>
      <w:rPr>
        <w:rFonts w:hint="eastAsia"/>
      </w:rPr>
    </w:lvl>
    <w:lvl w:ilvl="3" w:tentative="0">
      <w:start w:val="1"/>
      <w:numFmt w:val="decimal"/>
      <w:lvlText w:val="%4."/>
      <w:lvlJc w:val="left"/>
      <w:pPr>
        <w:tabs>
          <w:tab w:val="left" w:pos="4821"/>
        </w:tabs>
        <w:ind w:left="5813" w:hanging="629"/>
      </w:pPr>
      <w:rPr>
        <w:rFonts w:hint="eastAsia"/>
      </w:rPr>
    </w:lvl>
    <w:lvl w:ilvl="4" w:tentative="0">
      <w:start w:val="1"/>
      <w:numFmt w:val="lowerLetter"/>
      <w:lvlText w:val="%5)"/>
      <w:lvlJc w:val="left"/>
      <w:pPr>
        <w:tabs>
          <w:tab w:val="left" w:pos="4821"/>
        </w:tabs>
        <w:ind w:left="5813" w:hanging="629"/>
      </w:pPr>
      <w:rPr>
        <w:rFonts w:hint="eastAsia"/>
      </w:rPr>
    </w:lvl>
    <w:lvl w:ilvl="5" w:tentative="0">
      <w:start w:val="1"/>
      <w:numFmt w:val="lowerRoman"/>
      <w:lvlText w:val="%6."/>
      <w:lvlJc w:val="right"/>
      <w:pPr>
        <w:tabs>
          <w:tab w:val="left" w:pos="4821"/>
        </w:tabs>
        <w:ind w:left="5813" w:hanging="629"/>
      </w:pPr>
      <w:rPr>
        <w:rFonts w:hint="eastAsia"/>
      </w:rPr>
    </w:lvl>
    <w:lvl w:ilvl="6" w:tentative="0">
      <w:start w:val="1"/>
      <w:numFmt w:val="decimal"/>
      <w:lvlText w:val="%7."/>
      <w:lvlJc w:val="left"/>
      <w:pPr>
        <w:tabs>
          <w:tab w:val="left" w:pos="4821"/>
        </w:tabs>
        <w:ind w:left="5813" w:hanging="629"/>
      </w:pPr>
      <w:rPr>
        <w:rFonts w:hint="eastAsia"/>
      </w:rPr>
    </w:lvl>
    <w:lvl w:ilvl="7" w:tentative="0">
      <w:start w:val="1"/>
      <w:numFmt w:val="lowerLetter"/>
      <w:lvlText w:val="%8)"/>
      <w:lvlJc w:val="left"/>
      <w:pPr>
        <w:tabs>
          <w:tab w:val="left" w:pos="4821"/>
        </w:tabs>
        <w:ind w:left="5813" w:hanging="629"/>
      </w:pPr>
      <w:rPr>
        <w:rFonts w:hint="eastAsia"/>
      </w:rPr>
    </w:lvl>
    <w:lvl w:ilvl="8" w:tentative="0">
      <w:start w:val="1"/>
      <w:numFmt w:val="lowerRoman"/>
      <w:lvlText w:val="%9."/>
      <w:lvlJc w:val="right"/>
      <w:pPr>
        <w:tabs>
          <w:tab w:val="left" w:pos="4821"/>
        </w:tabs>
        <w:ind w:left="5813" w:hanging="629"/>
      </w:pPr>
      <w:rPr>
        <w:rFonts w:hint="eastAsia"/>
      </w:rPr>
    </w:lvl>
  </w:abstractNum>
  <w:abstractNum w:abstractNumId="1">
    <w:nsid w:val="093C6778"/>
    <w:multiLevelType w:val="multilevel"/>
    <w:tmpl w:val="093C6778"/>
    <w:lvl w:ilvl="0" w:tentative="0">
      <w:start w:val="1"/>
      <w:numFmt w:val="decimal"/>
      <w:pStyle w:val="114"/>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0AE367E9"/>
    <w:multiLevelType w:val="multilevel"/>
    <w:tmpl w:val="0AE367E9"/>
    <w:lvl w:ilvl="0" w:tentative="0">
      <w:start w:val="1"/>
      <w:numFmt w:val="none"/>
      <w:pStyle w:val="52"/>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tentative="0">
      <w:start w:val="1"/>
      <w:numFmt w:val="lowerLetter"/>
      <w:pStyle w:val="118"/>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1DBF583A"/>
    <w:multiLevelType w:val="multilevel"/>
    <w:tmpl w:val="1DBF583A"/>
    <w:lvl w:ilvl="0" w:tentative="0">
      <w:start w:val="1"/>
      <w:numFmt w:val="decimal"/>
      <w:pStyle w:val="65"/>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tentative="0">
      <w:start w:val="1"/>
      <w:numFmt w:val="decimal"/>
      <w:pStyle w:val="45"/>
      <w:suff w:val="nothing"/>
      <w:lvlText w:val="%1　"/>
      <w:lvlJc w:val="left"/>
      <w:pPr>
        <w:ind w:left="426" w:firstLine="0"/>
      </w:pPr>
      <w:rPr>
        <w:rFonts w:hint="eastAsia" w:ascii="黑体" w:hAnsi="Times New Roman" w:eastAsia="黑体"/>
        <w:b w:val="0"/>
        <w:i w:val="0"/>
        <w:sz w:val="21"/>
        <w:szCs w:val="21"/>
      </w:rPr>
    </w:lvl>
    <w:lvl w:ilvl="1" w:tentative="0">
      <w:start w:val="1"/>
      <w:numFmt w:val="decimal"/>
      <w:pStyle w:val="42"/>
      <w:suff w:val="nothing"/>
      <w:lvlText w:val="%1.%2　"/>
      <w:lvlJc w:val="left"/>
      <w:pPr>
        <w:ind w:left="156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46"/>
      <w:suff w:val="nothing"/>
      <w:lvlText w:val="%1.%2.%3　"/>
      <w:lvlJc w:val="left"/>
      <w:pPr>
        <w:ind w:left="852" w:firstLine="0"/>
      </w:pPr>
      <w:rPr>
        <w:rFonts w:hint="eastAsia" w:ascii="黑体" w:hAnsi="Times New Roman" w:eastAsia="黑体"/>
        <w:b w:val="0"/>
        <w:i w:val="0"/>
        <w:sz w:val="21"/>
      </w:rPr>
    </w:lvl>
    <w:lvl w:ilvl="3" w:tentative="0">
      <w:start w:val="1"/>
      <w:numFmt w:val="decimal"/>
      <w:pStyle w:val="51"/>
      <w:suff w:val="nothing"/>
      <w:lvlText w:val="%1.%2.%3.%4　"/>
      <w:lvlJc w:val="left"/>
      <w:pPr>
        <w:ind w:left="0" w:firstLine="0"/>
      </w:pPr>
      <w:rPr>
        <w:rFonts w:hint="eastAsia" w:ascii="黑体" w:hAnsi="Times New Roman" w:eastAsia="黑体"/>
        <w:b w:val="0"/>
        <w:i w:val="0"/>
        <w:sz w:val="21"/>
      </w:rPr>
    </w:lvl>
    <w:lvl w:ilvl="4" w:tentative="0">
      <w:start w:val="1"/>
      <w:numFmt w:val="decimal"/>
      <w:pStyle w:val="55"/>
      <w:suff w:val="nothing"/>
      <w:lvlText w:val="%1.%2.%3.%4.%5　"/>
      <w:lvlJc w:val="left"/>
      <w:pPr>
        <w:ind w:left="1701" w:firstLine="0"/>
      </w:pPr>
      <w:rPr>
        <w:rFonts w:hint="eastAsia" w:eastAsia="宋体" w:asciiTheme="minorEastAsia" w:hAnsiTheme="minorEastAsia"/>
        <w:b w:val="0"/>
        <w:i w:val="0"/>
        <w:sz w:val="21"/>
      </w:rPr>
    </w:lvl>
    <w:lvl w:ilvl="5" w:tentative="0">
      <w:start w:val="1"/>
      <w:numFmt w:val="decimal"/>
      <w:pStyle w:val="56"/>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A8F7113"/>
    <w:multiLevelType w:val="multilevel"/>
    <w:tmpl w:val="2A8F7113"/>
    <w:lvl w:ilvl="0" w:tentative="0">
      <w:start w:val="1"/>
      <w:numFmt w:val="upperLetter"/>
      <w:pStyle w:val="96"/>
      <w:suff w:val="space"/>
      <w:lvlText w:val="%1"/>
      <w:lvlJc w:val="left"/>
      <w:pPr>
        <w:ind w:left="623" w:hanging="425"/>
      </w:pPr>
      <w:rPr>
        <w:rFonts w:hint="eastAsia"/>
      </w:rPr>
    </w:lvl>
    <w:lvl w:ilvl="1" w:tentative="0">
      <w:start w:val="1"/>
      <w:numFmt w:val="decimal"/>
      <w:pStyle w:val="97"/>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7">
    <w:nsid w:val="2C5917C3"/>
    <w:multiLevelType w:val="multilevel"/>
    <w:tmpl w:val="2C5917C3"/>
    <w:lvl w:ilvl="0" w:tentative="0">
      <w:start w:val="1"/>
      <w:numFmt w:val="none"/>
      <w:pStyle w:val="48"/>
      <w:suff w:val="nothing"/>
      <w:lvlText w:val="%1——"/>
      <w:lvlJc w:val="left"/>
      <w:pPr>
        <w:ind w:left="2819" w:hanging="408"/>
      </w:pPr>
      <w:rPr>
        <w:rFonts w:hint="eastAsia"/>
      </w:rPr>
    </w:lvl>
    <w:lvl w:ilvl="1" w:tentative="0">
      <w:start w:val="1"/>
      <w:numFmt w:val="bullet"/>
      <w:pStyle w:val="49"/>
      <w:lvlText w:val=""/>
      <w:lvlJc w:val="left"/>
      <w:pPr>
        <w:tabs>
          <w:tab w:val="left" w:pos="760"/>
        </w:tabs>
        <w:ind w:left="1264" w:hanging="413"/>
      </w:pPr>
      <w:rPr>
        <w:rFonts w:hint="default" w:ascii="Symbol" w:hAnsi="Symbol"/>
        <w:color w:val="auto"/>
      </w:rPr>
    </w:lvl>
    <w:lvl w:ilvl="2" w:tentative="0">
      <w:start w:val="1"/>
      <w:numFmt w:val="bullet"/>
      <w:pStyle w:val="60"/>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8">
    <w:nsid w:val="3D733618"/>
    <w:multiLevelType w:val="multilevel"/>
    <w:tmpl w:val="3D733618"/>
    <w:lvl w:ilvl="0" w:tentative="0">
      <w:start w:val="1"/>
      <w:numFmt w:val="decimal"/>
      <w:pStyle w:val="26"/>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44C50F90"/>
    <w:multiLevelType w:val="multilevel"/>
    <w:tmpl w:val="44C50F90"/>
    <w:lvl w:ilvl="0" w:tentative="0">
      <w:start w:val="1"/>
      <w:numFmt w:val="lowerLetter"/>
      <w:pStyle w:val="59"/>
      <w:lvlText w:val="%1)"/>
      <w:lvlJc w:val="left"/>
      <w:pPr>
        <w:tabs>
          <w:tab w:val="left" w:pos="846"/>
        </w:tabs>
        <w:ind w:left="845" w:hanging="419"/>
      </w:pPr>
      <w:rPr>
        <w:rFonts w:hint="eastAsia" w:ascii="宋体" w:eastAsia="宋体"/>
        <w:b w:val="0"/>
        <w:i w:val="0"/>
        <w:sz w:val="21"/>
        <w:szCs w:val="21"/>
      </w:rPr>
    </w:lvl>
    <w:lvl w:ilvl="1" w:tentative="0">
      <w:start w:val="1"/>
      <w:numFmt w:val="decimal"/>
      <w:pStyle w:val="54"/>
      <w:lvlText w:val="%2)"/>
      <w:lvlJc w:val="left"/>
      <w:pPr>
        <w:tabs>
          <w:tab w:val="left" w:pos="1266"/>
        </w:tabs>
        <w:ind w:left="1265" w:hanging="419"/>
      </w:pPr>
      <w:rPr>
        <w:rFonts w:hint="eastAsia"/>
      </w:rPr>
    </w:lvl>
    <w:lvl w:ilvl="2" w:tentative="0">
      <w:start w:val="1"/>
      <w:numFmt w:val="decimal"/>
      <w:pStyle w:val="61"/>
      <w:lvlText w:val="(%3)"/>
      <w:lvlJc w:val="left"/>
      <w:pPr>
        <w:tabs>
          <w:tab w:val="left" w:pos="6"/>
        </w:tabs>
        <w:ind w:left="1685" w:hanging="420"/>
      </w:pPr>
      <w:rPr>
        <w:rFonts w:hint="eastAsia" w:ascii="宋体" w:eastAsia="宋体"/>
        <w:b w:val="0"/>
        <w:i w:val="0"/>
        <w:sz w:val="21"/>
        <w:szCs w:val="21"/>
      </w:rPr>
    </w:lvl>
    <w:lvl w:ilvl="3" w:tentative="0">
      <w:start w:val="1"/>
      <w:numFmt w:val="decimal"/>
      <w:lvlText w:val="%4."/>
      <w:lvlJc w:val="left"/>
      <w:pPr>
        <w:tabs>
          <w:tab w:val="left" w:pos="2106"/>
        </w:tabs>
        <w:ind w:left="2105" w:hanging="419"/>
      </w:pPr>
      <w:rPr>
        <w:rFonts w:hint="eastAsia"/>
      </w:rPr>
    </w:lvl>
    <w:lvl w:ilvl="4" w:tentative="0">
      <w:start w:val="1"/>
      <w:numFmt w:val="lowerLetter"/>
      <w:lvlText w:val="%5)"/>
      <w:lvlJc w:val="left"/>
      <w:pPr>
        <w:tabs>
          <w:tab w:val="left" w:pos="2526"/>
        </w:tabs>
        <w:ind w:left="2525" w:hanging="419"/>
      </w:pPr>
      <w:rPr>
        <w:rFonts w:hint="eastAsia"/>
      </w:rPr>
    </w:lvl>
    <w:lvl w:ilvl="5" w:tentative="0">
      <w:start w:val="1"/>
      <w:numFmt w:val="lowerRoman"/>
      <w:lvlText w:val="%6."/>
      <w:lvlJc w:val="right"/>
      <w:pPr>
        <w:tabs>
          <w:tab w:val="left" w:pos="2946"/>
        </w:tabs>
        <w:ind w:left="2945" w:hanging="419"/>
      </w:pPr>
      <w:rPr>
        <w:rFonts w:hint="eastAsia"/>
      </w:rPr>
    </w:lvl>
    <w:lvl w:ilvl="6" w:tentative="0">
      <w:start w:val="1"/>
      <w:numFmt w:val="decimal"/>
      <w:lvlText w:val="%7."/>
      <w:lvlJc w:val="left"/>
      <w:pPr>
        <w:tabs>
          <w:tab w:val="left" w:pos="3366"/>
        </w:tabs>
        <w:ind w:left="3365" w:hanging="419"/>
      </w:pPr>
      <w:rPr>
        <w:rFonts w:hint="eastAsia"/>
      </w:rPr>
    </w:lvl>
    <w:lvl w:ilvl="7" w:tentative="0">
      <w:start w:val="1"/>
      <w:numFmt w:val="lowerLetter"/>
      <w:lvlText w:val="%8)"/>
      <w:lvlJc w:val="left"/>
      <w:pPr>
        <w:tabs>
          <w:tab w:val="left" w:pos="3786"/>
        </w:tabs>
        <w:ind w:left="3785" w:hanging="419"/>
      </w:pPr>
      <w:rPr>
        <w:rFonts w:hint="eastAsia"/>
      </w:rPr>
    </w:lvl>
    <w:lvl w:ilvl="8" w:tentative="0">
      <w:start w:val="1"/>
      <w:numFmt w:val="lowerRoman"/>
      <w:lvlText w:val="%9."/>
      <w:lvlJc w:val="right"/>
      <w:pPr>
        <w:tabs>
          <w:tab w:val="left" w:pos="4206"/>
        </w:tabs>
        <w:ind w:left="4205" w:hanging="419"/>
      </w:pPr>
      <w:rPr>
        <w:rFonts w:hint="eastAsia"/>
      </w:rPr>
    </w:lvl>
  </w:abstractNum>
  <w:abstractNum w:abstractNumId="10">
    <w:nsid w:val="4B733A5F"/>
    <w:multiLevelType w:val="multilevel"/>
    <w:tmpl w:val="4B733A5F"/>
    <w:lvl w:ilvl="0" w:tentative="0">
      <w:start w:val="1"/>
      <w:numFmt w:val="decimal"/>
      <w:pStyle w:val="62"/>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1">
    <w:nsid w:val="557C2AF5"/>
    <w:multiLevelType w:val="multilevel"/>
    <w:tmpl w:val="557C2AF5"/>
    <w:lvl w:ilvl="0" w:tentative="0">
      <w:start w:val="1"/>
      <w:numFmt w:val="decimal"/>
      <w:pStyle w:val="125"/>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0B55DC2"/>
    <w:multiLevelType w:val="multilevel"/>
    <w:tmpl w:val="60B55DC2"/>
    <w:lvl w:ilvl="0" w:tentative="0">
      <w:start w:val="1"/>
      <w:numFmt w:val="upperLetter"/>
      <w:pStyle w:val="85"/>
      <w:lvlText w:val="%1"/>
      <w:lvlJc w:val="left"/>
      <w:pPr>
        <w:tabs>
          <w:tab w:val="left" w:pos="0"/>
        </w:tabs>
        <w:ind w:left="0" w:hanging="425"/>
      </w:pPr>
      <w:rPr>
        <w:rFonts w:hint="eastAsia"/>
      </w:rPr>
    </w:lvl>
    <w:lvl w:ilvl="1" w:tentative="0">
      <w:start w:val="1"/>
      <w:numFmt w:val="decimal"/>
      <w:pStyle w:val="8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3">
    <w:nsid w:val="646260FA"/>
    <w:multiLevelType w:val="multilevel"/>
    <w:tmpl w:val="646260FA"/>
    <w:lvl w:ilvl="0" w:tentative="0">
      <w:start w:val="1"/>
      <w:numFmt w:val="decimal"/>
      <w:pStyle w:val="123"/>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4">
    <w:nsid w:val="657D3FBC"/>
    <w:multiLevelType w:val="multilevel"/>
    <w:tmpl w:val="657D3FBC"/>
    <w:lvl w:ilvl="0" w:tentative="0">
      <w:start w:val="1"/>
      <w:numFmt w:val="upperLetter"/>
      <w:pStyle w:val="83"/>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0"/>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1"/>
      <w:suff w:val="nothing"/>
      <w:lvlText w:val="%1.%2.%3　"/>
      <w:lvlJc w:val="left"/>
      <w:pPr>
        <w:ind w:left="0" w:firstLine="0"/>
      </w:pPr>
      <w:rPr>
        <w:rFonts w:hint="eastAsia" w:ascii="黑体" w:hAnsi="Times New Roman" w:eastAsia="黑体"/>
        <w:b w:val="0"/>
        <w:i w:val="0"/>
        <w:sz w:val="21"/>
      </w:rPr>
    </w:lvl>
    <w:lvl w:ilvl="3" w:tentative="0">
      <w:start w:val="1"/>
      <w:numFmt w:val="decimal"/>
      <w:pStyle w:val="87"/>
      <w:suff w:val="nothing"/>
      <w:lvlText w:val="%1.%2.%3.%4　"/>
      <w:lvlJc w:val="left"/>
      <w:pPr>
        <w:ind w:left="0" w:firstLine="0"/>
      </w:pPr>
      <w:rPr>
        <w:rFonts w:hint="eastAsia" w:ascii="黑体" w:hAnsi="Times New Roman" w:eastAsia="黑体"/>
        <w:b w:val="0"/>
        <w:i w:val="0"/>
        <w:sz w:val="21"/>
      </w:rPr>
    </w:lvl>
    <w:lvl w:ilvl="4" w:tentative="0">
      <w:start w:val="1"/>
      <w:numFmt w:val="decimal"/>
      <w:pStyle w:val="91"/>
      <w:suff w:val="nothing"/>
      <w:lvlText w:val="%1.%2.%3.%4.%5　"/>
      <w:lvlJc w:val="left"/>
      <w:pPr>
        <w:ind w:left="0" w:firstLine="0"/>
      </w:pPr>
      <w:rPr>
        <w:rFonts w:hint="eastAsia" w:ascii="黑体" w:hAnsi="Times New Roman" w:eastAsia="黑体"/>
        <w:b w:val="0"/>
        <w:i w:val="0"/>
        <w:sz w:val="21"/>
      </w:rPr>
    </w:lvl>
    <w:lvl w:ilvl="5" w:tentative="0">
      <w:start w:val="1"/>
      <w:numFmt w:val="decimal"/>
      <w:pStyle w:val="94"/>
      <w:suff w:val="nothing"/>
      <w:lvlText w:val="%1.%2.%3.%4.%5.%6　"/>
      <w:lvlJc w:val="left"/>
      <w:pPr>
        <w:ind w:left="0" w:firstLine="0"/>
      </w:pPr>
      <w:rPr>
        <w:rFonts w:hint="eastAsia" w:ascii="黑体" w:hAnsi="Times New Roman" w:eastAsia="黑体"/>
        <w:b w:val="0"/>
        <w:i w:val="0"/>
        <w:sz w:val="21"/>
      </w:rPr>
    </w:lvl>
    <w:lvl w:ilvl="6" w:tentative="0">
      <w:start w:val="1"/>
      <w:numFmt w:val="decimal"/>
      <w:pStyle w:val="9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D6C07CD"/>
    <w:multiLevelType w:val="multilevel"/>
    <w:tmpl w:val="6D6C07CD"/>
    <w:lvl w:ilvl="0" w:tentative="0">
      <w:start w:val="1"/>
      <w:numFmt w:val="lowerLetter"/>
      <w:pStyle w:val="103"/>
      <w:lvlText w:val="%1)"/>
      <w:lvlJc w:val="left"/>
      <w:pPr>
        <w:tabs>
          <w:tab w:val="left" w:pos="839"/>
        </w:tabs>
        <w:ind w:left="839" w:hanging="419"/>
      </w:pPr>
      <w:rPr>
        <w:rFonts w:hint="eastAsia" w:ascii="宋体" w:eastAsia="宋体"/>
        <w:b w:val="0"/>
        <w:i w:val="0"/>
        <w:sz w:val="21"/>
      </w:rPr>
    </w:lvl>
    <w:lvl w:ilvl="1" w:tentative="0">
      <w:start w:val="1"/>
      <w:numFmt w:val="decimal"/>
      <w:pStyle w:val="93"/>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6">
    <w:nsid w:val="6DBF04F4"/>
    <w:multiLevelType w:val="multilevel"/>
    <w:tmpl w:val="6DBF04F4"/>
    <w:lvl w:ilvl="0" w:tentative="0">
      <w:start w:val="1"/>
      <w:numFmt w:val="none"/>
      <w:pStyle w:val="57"/>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8"/>
  </w:num>
  <w:num w:numId="2">
    <w:abstractNumId w:val="5"/>
  </w:num>
  <w:num w:numId="3">
    <w:abstractNumId w:val="7"/>
  </w:num>
  <w:num w:numId="4">
    <w:abstractNumId w:val="2"/>
  </w:num>
  <w:num w:numId="5">
    <w:abstractNumId w:val="9"/>
  </w:num>
  <w:num w:numId="6">
    <w:abstractNumId w:val="16"/>
  </w:num>
  <w:num w:numId="7">
    <w:abstractNumId w:val="0"/>
  </w:num>
  <w:num w:numId="8">
    <w:abstractNumId w:val="10"/>
  </w:num>
  <w:num w:numId="9">
    <w:abstractNumId w:val="4"/>
  </w:num>
  <w:num w:numId="10">
    <w:abstractNumId w:val="14"/>
  </w:num>
  <w:num w:numId="11">
    <w:abstractNumId w:val="12"/>
  </w:num>
  <w:num w:numId="12">
    <w:abstractNumId w:val="15"/>
  </w:num>
  <w:num w:numId="13">
    <w:abstractNumId w:val="6"/>
  </w:num>
  <w:num w:numId="14">
    <w:abstractNumId w:val="1"/>
  </w:num>
  <w:num w:numId="15">
    <w:abstractNumId w:val="3"/>
  </w:num>
  <w:num w:numId="16">
    <w:abstractNumId w:val="1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removePersonalInformation/>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510B2"/>
    <w:rsid w:val="00000244"/>
    <w:rsid w:val="0000185F"/>
    <w:rsid w:val="000029AB"/>
    <w:rsid w:val="00003C77"/>
    <w:rsid w:val="0000586F"/>
    <w:rsid w:val="00005A19"/>
    <w:rsid w:val="00013D86"/>
    <w:rsid w:val="00013E02"/>
    <w:rsid w:val="0002143C"/>
    <w:rsid w:val="0002500D"/>
    <w:rsid w:val="00025A65"/>
    <w:rsid w:val="00026C31"/>
    <w:rsid w:val="00027280"/>
    <w:rsid w:val="000316E9"/>
    <w:rsid w:val="000320A7"/>
    <w:rsid w:val="00032F8E"/>
    <w:rsid w:val="00034135"/>
    <w:rsid w:val="00035925"/>
    <w:rsid w:val="00035BBB"/>
    <w:rsid w:val="00037CD6"/>
    <w:rsid w:val="00040EB0"/>
    <w:rsid w:val="00041A4F"/>
    <w:rsid w:val="00044C81"/>
    <w:rsid w:val="0004676B"/>
    <w:rsid w:val="000509CE"/>
    <w:rsid w:val="00051B8E"/>
    <w:rsid w:val="00052E90"/>
    <w:rsid w:val="00053BAB"/>
    <w:rsid w:val="00054B87"/>
    <w:rsid w:val="000621B7"/>
    <w:rsid w:val="00063674"/>
    <w:rsid w:val="00064F53"/>
    <w:rsid w:val="000661EE"/>
    <w:rsid w:val="00066876"/>
    <w:rsid w:val="00066F73"/>
    <w:rsid w:val="00067CDF"/>
    <w:rsid w:val="00072850"/>
    <w:rsid w:val="00074FBE"/>
    <w:rsid w:val="0008145E"/>
    <w:rsid w:val="00083A09"/>
    <w:rsid w:val="00087C27"/>
    <w:rsid w:val="00087EE1"/>
    <w:rsid w:val="0009005E"/>
    <w:rsid w:val="00090EE2"/>
    <w:rsid w:val="00091BCD"/>
    <w:rsid w:val="00092857"/>
    <w:rsid w:val="00097785"/>
    <w:rsid w:val="000A1589"/>
    <w:rsid w:val="000A20A9"/>
    <w:rsid w:val="000A39B7"/>
    <w:rsid w:val="000A48B1"/>
    <w:rsid w:val="000A52CB"/>
    <w:rsid w:val="000A53A3"/>
    <w:rsid w:val="000A6E81"/>
    <w:rsid w:val="000B1D50"/>
    <w:rsid w:val="000B3143"/>
    <w:rsid w:val="000B571A"/>
    <w:rsid w:val="000B5B1A"/>
    <w:rsid w:val="000C29CC"/>
    <w:rsid w:val="000C6AF3"/>
    <w:rsid w:val="000C6B05"/>
    <w:rsid w:val="000C6DD6"/>
    <w:rsid w:val="000C6E32"/>
    <w:rsid w:val="000C73D4"/>
    <w:rsid w:val="000C7BD4"/>
    <w:rsid w:val="000D11B4"/>
    <w:rsid w:val="000D3D4C"/>
    <w:rsid w:val="000D4F51"/>
    <w:rsid w:val="000D718B"/>
    <w:rsid w:val="000E00FE"/>
    <w:rsid w:val="000E0C46"/>
    <w:rsid w:val="000E196D"/>
    <w:rsid w:val="000E1DAA"/>
    <w:rsid w:val="000E4DF9"/>
    <w:rsid w:val="000F030C"/>
    <w:rsid w:val="000F129C"/>
    <w:rsid w:val="000F345B"/>
    <w:rsid w:val="000F40DA"/>
    <w:rsid w:val="000F4831"/>
    <w:rsid w:val="000F64E3"/>
    <w:rsid w:val="000F679F"/>
    <w:rsid w:val="000F7655"/>
    <w:rsid w:val="001056DE"/>
    <w:rsid w:val="00105E5C"/>
    <w:rsid w:val="00107694"/>
    <w:rsid w:val="001078CD"/>
    <w:rsid w:val="0011187A"/>
    <w:rsid w:val="001124C0"/>
    <w:rsid w:val="00112C5F"/>
    <w:rsid w:val="00112F72"/>
    <w:rsid w:val="00121F75"/>
    <w:rsid w:val="00124BF7"/>
    <w:rsid w:val="00126481"/>
    <w:rsid w:val="0013175F"/>
    <w:rsid w:val="0013716B"/>
    <w:rsid w:val="00137D73"/>
    <w:rsid w:val="00142020"/>
    <w:rsid w:val="00145462"/>
    <w:rsid w:val="0015126E"/>
    <w:rsid w:val="001512B4"/>
    <w:rsid w:val="0015481D"/>
    <w:rsid w:val="00156EE3"/>
    <w:rsid w:val="00160962"/>
    <w:rsid w:val="001620A5"/>
    <w:rsid w:val="00164E53"/>
    <w:rsid w:val="00165D9F"/>
    <w:rsid w:val="0016699D"/>
    <w:rsid w:val="00174608"/>
    <w:rsid w:val="00175159"/>
    <w:rsid w:val="00176208"/>
    <w:rsid w:val="00177F0E"/>
    <w:rsid w:val="00180C92"/>
    <w:rsid w:val="0018211B"/>
    <w:rsid w:val="0018378B"/>
    <w:rsid w:val="001837BA"/>
    <w:rsid w:val="001840D3"/>
    <w:rsid w:val="001900F8"/>
    <w:rsid w:val="00190C83"/>
    <w:rsid w:val="00191258"/>
    <w:rsid w:val="00192680"/>
    <w:rsid w:val="00193037"/>
    <w:rsid w:val="00193A2C"/>
    <w:rsid w:val="00193D30"/>
    <w:rsid w:val="00194E3A"/>
    <w:rsid w:val="00195B75"/>
    <w:rsid w:val="001A288E"/>
    <w:rsid w:val="001A359B"/>
    <w:rsid w:val="001A5B28"/>
    <w:rsid w:val="001A5D24"/>
    <w:rsid w:val="001A6B35"/>
    <w:rsid w:val="001B0D66"/>
    <w:rsid w:val="001B17B0"/>
    <w:rsid w:val="001B6DC2"/>
    <w:rsid w:val="001C029D"/>
    <w:rsid w:val="001C149C"/>
    <w:rsid w:val="001C21AC"/>
    <w:rsid w:val="001C2D51"/>
    <w:rsid w:val="001C3B5E"/>
    <w:rsid w:val="001C3EDB"/>
    <w:rsid w:val="001C47BA"/>
    <w:rsid w:val="001C59EA"/>
    <w:rsid w:val="001C7037"/>
    <w:rsid w:val="001C7A47"/>
    <w:rsid w:val="001D406C"/>
    <w:rsid w:val="001D41EE"/>
    <w:rsid w:val="001D61E6"/>
    <w:rsid w:val="001E0380"/>
    <w:rsid w:val="001E13B1"/>
    <w:rsid w:val="001E151E"/>
    <w:rsid w:val="001E295C"/>
    <w:rsid w:val="001F0194"/>
    <w:rsid w:val="001F3735"/>
    <w:rsid w:val="001F3A19"/>
    <w:rsid w:val="001F3FDE"/>
    <w:rsid w:val="001F4C12"/>
    <w:rsid w:val="001F541F"/>
    <w:rsid w:val="001F5A76"/>
    <w:rsid w:val="00200756"/>
    <w:rsid w:val="00201D71"/>
    <w:rsid w:val="002021A5"/>
    <w:rsid w:val="00206978"/>
    <w:rsid w:val="002101FA"/>
    <w:rsid w:val="002176B7"/>
    <w:rsid w:val="00223A10"/>
    <w:rsid w:val="00224F1E"/>
    <w:rsid w:val="00226AD8"/>
    <w:rsid w:val="002273D6"/>
    <w:rsid w:val="002274A7"/>
    <w:rsid w:val="002329E5"/>
    <w:rsid w:val="0023373F"/>
    <w:rsid w:val="00233C84"/>
    <w:rsid w:val="00234467"/>
    <w:rsid w:val="0023448B"/>
    <w:rsid w:val="00234F46"/>
    <w:rsid w:val="002367EA"/>
    <w:rsid w:val="00236944"/>
    <w:rsid w:val="00237D8D"/>
    <w:rsid w:val="00241DA2"/>
    <w:rsid w:val="0024238F"/>
    <w:rsid w:val="00243942"/>
    <w:rsid w:val="00246643"/>
    <w:rsid w:val="00247FEE"/>
    <w:rsid w:val="0025075E"/>
    <w:rsid w:val="002507B4"/>
    <w:rsid w:val="002508B6"/>
    <w:rsid w:val="00250E7D"/>
    <w:rsid w:val="002521BB"/>
    <w:rsid w:val="00253647"/>
    <w:rsid w:val="002565D5"/>
    <w:rsid w:val="00256900"/>
    <w:rsid w:val="00260C2F"/>
    <w:rsid w:val="00261476"/>
    <w:rsid w:val="002622C0"/>
    <w:rsid w:val="002668DE"/>
    <w:rsid w:val="00267CA4"/>
    <w:rsid w:val="00270057"/>
    <w:rsid w:val="002761E4"/>
    <w:rsid w:val="002778AE"/>
    <w:rsid w:val="002801EC"/>
    <w:rsid w:val="0028269A"/>
    <w:rsid w:val="00283590"/>
    <w:rsid w:val="00284871"/>
    <w:rsid w:val="00285E4E"/>
    <w:rsid w:val="00286973"/>
    <w:rsid w:val="00291CB9"/>
    <w:rsid w:val="00294E70"/>
    <w:rsid w:val="00297362"/>
    <w:rsid w:val="002A1924"/>
    <w:rsid w:val="002A7420"/>
    <w:rsid w:val="002B0F12"/>
    <w:rsid w:val="002B1308"/>
    <w:rsid w:val="002B4554"/>
    <w:rsid w:val="002B7523"/>
    <w:rsid w:val="002B7CDF"/>
    <w:rsid w:val="002C054B"/>
    <w:rsid w:val="002C19CC"/>
    <w:rsid w:val="002C3477"/>
    <w:rsid w:val="002C3725"/>
    <w:rsid w:val="002C423B"/>
    <w:rsid w:val="002C5C1A"/>
    <w:rsid w:val="002C5D09"/>
    <w:rsid w:val="002C721F"/>
    <w:rsid w:val="002C72D8"/>
    <w:rsid w:val="002C73DE"/>
    <w:rsid w:val="002D0D56"/>
    <w:rsid w:val="002D11FA"/>
    <w:rsid w:val="002D2C5B"/>
    <w:rsid w:val="002D31FD"/>
    <w:rsid w:val="002D3FD7"/>
    <w:rsid w:val="002D570E"/>
    <w:rsid w:val="002D5B4C"/>
    <w:rsid w:val="002D7CE4"/>
    <w:rsid w:val="002E0DDF"/>
    <w:rsid w:val="002E2906"/>
    <w:rsid w:val="002E55B1"/>
    <w:rsid w:val="002E5635"/>
    <w:rsid w:val="002E64C3"/>
    <w:rsid w:val="002E6A2C"/>
    <w:rsid w:val="002F1A7D"/>
    <w:rsid w:val="002F1D8C"/>
    <w:rsid w:val="002F21DA"/>
    <w:rsid w:val="002F7F7D"/>
    <w:rsid w:val="0030077C"/>
    <w:rsid w:val="003018F7"/>
    <w:rsid w:val="00301C2A"/>
    <w:rsid w:val="00301F39"/>
    <w:rsid w:val="0030251D"/>
    <w:rsid w:val="00302614"/>
    <w:rsid w:val="00312D7A"/>
    <w:rsid w:val="00325926"/>
    <w:rsid w:val="00327A8A"/>
    <w:rsid w:val="003301AC"/>
    <w:rsid w:val="00330EED"/>
    <w:rsid w:val="003348D3"/>
    <w:rsid w:val="00334A92"/>
    <w:rsid w:val="00336610"/>
    <w:rsid w:val="00343F73"/>
    <w:rsid w:val="003445C7"/>
    <w:rsid w:val="00345060"/>
    <w:rsid w:val="003453CA"/>
    <w:rsid w:val="00346009"/>
    <w:rsid w:val="00352FD8"/>
    <w:rsid w:val="0035323B"/>
    <w:rsid w:val="00355D1B"/>
    <w:rsid w:val="00356499"/>
    <w:rsid w:val="003606B1"/>
    <w:rsid w:val="003609D2"/>
    <w:rsid w:val="00363F22"/>
    <w:rsid w:val="00366837"/>
    <w:rsid w:val="003708B3"/>
    <w:rsid w:val="00372108"/>
    <w:rsid w:val="00375564"/>
    <w:rsid w:val="003763E6"/>
    <w:rsid w:val="00380E51"/>
    <w:rsid w:val="00380EAC"/>
    <w:rsid w:val="00383191"/>
    <w:rsid w:val="00386DED"/>
    <w:rsid w:val="0039112F"/>
    <w:rsid w:val="003912E7"/>
    <w:rsid w:val="00393947"/>
    <w:rsid w:val="00395754"/>
    <w:rsid w:val="00397B3C"/>
    <w:rsid w:val="003A2275"/>
    <w:rsid w:val="003A237F"/>
    <w:rsid w:val="003A42E2"/>
    <w:rsid w:val="003A4722"/>
    <w:rsid w:val="003A4F89"/>
    <w:rsid w:val="003A6A4F"/>
    <w:rsid w:val="003A6E67"/>
    <w:rsid w:val="003A7088"/>
    <w:rsid w:val="003B00DF"/>
    <w:rsid w:val="003B1275"/>
    <w:rsid w:val="003B1778"/>
    <w:rsid w:val="003C0435"/>
    <w:rsid w:val="003C0BF7"/>
    <w:rsid w:val="003C11CB"/>
    <w:rsid w:val="003C4313"/>
    <w:rsid w:val="003C57CA"/>
    <w:rsid w:val="003C6499"/>
    <w:rsid w:val="003C75F3"/>
    <w:rsid w:val="003C78A3"/>
    <w:rsid w:val="003E1867"/>
    <w:rsid w:val="003E2E09"/>
    <w:rsid w:val="003E3EC2"/>
    <w:rsid w:val="003E5729"/>
    <w:rsid w:val="003E7285"/>
    <w:rsid w:val="003F098C"/>
    <w:rsid w:val="003F2408"/>
    <w:rsid w:val="003F4EE0"/>
    <w:rsid w:val="003F63D1"/>
    <w:rsid w:val="00400027"/>
    <w:rsid w:val="00402153"/>
    <w:rsid w:val="00402FC1"/>
    <w:rsid w:val="004032C7"/>
    <w:rsid w:val="0040554B"/>
    <w:rsid w:val="00415CBD"/>
    <w:rsid w:val="0042185C"/>
    <w:rsid w:val="00422284"/>
    <w:rsid w:val="00424002"/>
    <w:rsid w:val="004248FA"/>
    <w:rsid w:val="00425082"/>
    <w:rsid w:val="00427277"/>
    <w:rsid w:val="004317AF"/>
    <w:rsid w:val="00431DEB"/>
    <w:rsid w:val="00441FF7"/>
    <w:rsid w:val="00443722"/>
    <w:rsid w:val="0044398B"/>
    <w:rsid w:val="00446B29"/>
    <w:rsid w:val="00447461"/>
    <w:rsid w:val="00453F9A"/>
    <w:rsid w:val="00454A9C"/>
    <w:rsid w:val="004550D2"/>
    <w:rsid w:val="00455A96"/>
    <w:rsid w:val="00455F40"/>
    <w:rsid w:val="004578EE"/>
    <w:rsid w:val="00457F79"/>
    <w:rsid w:val="004603C3"/>
    <w:rsid w:val="0046112C"/>
    <w:rsid w:val="00461A94"/>
    <w:rsid w:val="00462D3E"/>
    <w:rsid w:val="004635D2"/>
    <w:rsid w:val="00464C7E"/>
    <w:rsid w:val="00464D0F"/>
    <w:rsid w:val="00471E91"/>
    <w:rsid w:val="00473E63"/>
    <w:rsid w:val="00474441"/>
    <w:rsid w:val="00474675"/>
    <w:rsid w:val="0047470C"/>
    <w:rsid w:val="00474E39"/>
    <w:rsid w:val="0047648B"/>
    <w:rsid w:val="00482FA5"/>
    <w:rsid w:val="0048646C"/>
    <w:rsid w:val="00490297"/>
    <w:rsid w:val="00491F04"/>
    <w:rsid w:val="00492B95"/>
    <w:rsid w:val="0049667B"/>
    <w:rsid w:val="0049725B"/>
    <w:rsid w:val="00497670"/>
    <w:rsid w:val="004A0779"/>
    <w:rsid w:val="004A35F9"/>
    <w:rsid w:val="004A660E"/>
    <w:rsid w:val="004B24C1"/>
    <w:rsid w:val="004B30F2"/>
    <w:rsid w:val="004B3B86"/>
    <w:rsid w:val="004B49FC"/>
    <w:rsid w:val="004C05D4"/>
    <w:rsid w:val="004C1DC1"/>
    <w:rsid w:val="004C292F"/>
    <w:rsid w:val="004C3198"/>
    <w:rsid w:val="004C5468"/>
    <w:rsid w:val="004C7861"/>
    <w:rsid w:val="004D0DE7"/>
    <w:rsid w:val="004D66B9"/>
    <w:rsid w:val="004D7B15"/>
    <w:rsid w:val="004D7E6B"/>
    <w:rsid w:val="004E0086"/>
    <w:rsid w:val="004E1030"/>
    <w:rsid w:val="004E7838"/>
    <w:rsid w:val="004F06FC"/>
    <w:rsid w:val="004F1067"/>
    <w:rsid w:val="004F2BF2"/>
    <w:rsid w:val="004F58A7"/>
    <w:rsid w:val="004F6497"/>
    <w:rsid w:val="00500305"/>
    <w:rsid w:val="005003CE"/>
    <w:rsid w:val="00502BF1"/>
    <w:rsid w:val="0050350B"/>
    <w:rsid w:val="00503761"/>
    <w:rsid w:val="00505CC7"/>
    <w:rsid w:val="005060CC"/>
    <w:rsid w:val="00510280"/>
    <w:rsid w:val="00513D73"/>
    <w:rsid w:val="005148B7"/>
    <w:rsid w:val="00514A43"/>
    <w:rsid w:val="00516FE1"/>
    <w:rsid w:val="005174E5"/>
    <w:rsid w:val="00522393"/>
    <w:rsid w:val="00522620"/>
    <w:rsid w:val="0052399B"/>
    <w:rsid w:val="005243D3"/>
    <w:rsid w:val="00525656"/>
    <w:rsid w:val="00526409"/>
    <w:rsid w:val="00526776"/>
    <w:rsid w:val="00534655"/>
    <w:rsid w:val="00534A4A"/>
    <w:rsid w:val="00534C02"/>
    <w:rsid w:val="00536748"/>
    <w:rsid w:val="00542283"/>
    <w:rsid w:val="0054264B"/>
    <w:rsid w:val="00543786"/>
    <w:rsid w:val="005437E6"/>
    <w:rsid w:val="00546220"/>
    <w:rsid w:val="00550EB6"/>
    <w:rsid w:val="00551425"/>
    <w:rsid w:val="00551F3A"/>
    <w:rsid w:val="0055283F"/>
    <w:rsid w:val="005533D7"/>
    <w:rsid w:val="005557C7"/>
    <w:rsid w:val="00557A0C"/>
    <w:rsid w:val="005611D7"/>
    <w:rsid w:val="0056498E"/>
    <w:rsid w:val="00567521"/>
    <w:rsid w:val="00567988"/>
    <w:rsid w:val="00567E64"/>
    <w:rsid w:val="005703DE"/>
    <w:rsid w:val="00570B67"/>
    <w:rsid w:val="005714B5"/>
    <w:rsid w:val="005731E8"/>
    <w:rsid w:val="00576EBE"/>
    <w:rsid w:val="0057796F"/>
    <w:rsid w:val="00581883"/>
    <w:rsid w:val="00581F47"/>
    <w:rsid w:val="00582775"/>
    <w:rsid w:val="0058464E"/>
    <w:rsid w:val="0058476D"/>
    <w:rsid w:val="00585E61"/>
    <w:rsid w:val="005871EC"/>
    <w:rsid w:val="00587964"/>
    <w:rsid w:val="00587BBC"/>
    <w:rsid w:val="0059245F"/>
    <w:rsid w:val="005927A5"/>
    <w:rsid w:val="00592F07"/>
    <w:rsid w:val="005A01CB"/>
    <w:rsid w:val="005A01FF"/>
    <w:rsid w:val="005A1222"/>
    <w:rsid w:val="005A1253"/>
    <w:rsid w:val="005A39F8"/>
    <w:rsid w:val="005A424E"/>
    <w:rsid w:val="005A4699"/>
    <w:rsid w:val="005A58FF"/>
    <w:rsid w:val="005A5EAF"/>
    <w:rsid w:val="005A5FAF"/>
    <w:rsid w:val="005A64C0"/>
    <w:rsid w:val="005B0788"/>
    <w:rsid w:val="005B3C11"/>
    <w:rsid w:val="005C197F"/>
    <w:rsid w:val="005C1C28"/>
    <w:rsid w:val="005C25A8"/>
    <w:rsid w:val="005C57EC"/>
    <w:rsid w:val="005C5FF4"/>
    <w:rsid w:val="005C6DB5"/>
    <w:rsid w:val="005D15FD"/>
    <w:rsid w:val="005D21AF"/>
    <w:rsid w:val="005D26A4"/>
    <w:rsid w:val="005D34C9"/>
    <w:rsid w:val="005D40A1"/>
    <w:rsid w:val="005E19E7"/>
    <w:rsid w:val="005E562D"/>
    <w:rsid w:val="005E5E4E"/>
    <w:rsid w:val="005F17E4"/>
    <w:rsid w:val="005F1F5D"/>
    <w:rsid w:val="005F6716"/>
    <w:rsid w:val="00601963"/>
    <w:rsid w:val="00603021"/>
    <w:rsid w:val="00603DE2"/>
    <w:rsid w:val="00604857"/>
    <w:rsid w:val="00604DF4"/>
    <w:rsid w:val="00604E96"/>
    <w:rsid w:val="00610CEB"/>
    <w:rsid w:val="006145B6"/>
    <w:rsid w:val="006150C2"/>
    <w:rsid w:val="0061716C"/>
    <w:rsid w:val="00617610"/>
    <w:rsid w:val="006243A1"/>
    <w:rsid w:val="006255A8"/>
    <w:rsid w:val="00625930"/>
    <w:rsid w:val="006272E9"/>
    <w:rsid w:val="00627A00"/>
    <w:rsid w:val="00631F61"/>
    <w:rsid w:val="006327F4"/>
    <w:rsid w:val="00632E56"/>
    <w:rsid w:val="00633992"/>
    <w:rsid w:val="00635C9C"/>
    <w:rsid w:val="00635CBA"/>
    <w:rsid w:val="0063658A"/>
    <w:rsid w:val="00636D9B"/>
    <w:rsid w:val="0064338B"/>
    <w:rsid w:val="006436F3"/>
    <w:rsid w:val="00646542"/>
    <w:rsid w:val="00650287"/>
    <w:rsid w:val="006504F4"/>
    <w:rsid w:val="00654BC9"/>
    <w:rsid w:val="006552FD"/>
    <w:rsid w:val="00655595"/>
    <w:rsid w:val="00661F07"/>
    <w:rsid w:val="00663AF3"/>
    <w:rsid w:val="00664787"/>
    <w:rsid w:val="00665509"/>
    <w:rsid w:val="006666C5"/>
    <w:rsid w:val="00666B6C"/>
    <w:rsid w:val="00673C5D"/>
    <w:rsid w:val="00673FE6"/>
    <w:rsid w:val="00676182"/>
    <w:rsid w:val="0067782D"/>
    <w:rsid w:val="00680FA7"/>
    <w:rsid w:val="00682682"/>
    <w:rsid w:val="00682702"/>
    <w:rsid w:val="0068379A"/>
    <w:rsid w:val="006838C2"/>
    <w:rsid w:val="00685F3D"/>
    <w:rsid w:val="006870E0"/>
    <w:rsid w:val="00687781"/>
    <w:rsid w:val="00691449"/>
    <w:rsid w:val="00692368"/>
    <w:rsid w:val="00692736"/>
    <w:rsid w:val="00694C03"/>
    <w:rsid w:val="006A2AAC"/>
    <w:rsid w:val="006A2EBC"/>
    <w:rsid w:val="006A3B27"/>
    <w:rsid w:val="006A40BF"/>
    <w:rsid w:val="006A4328"/>
    <w:rsid w:val="006A5D40"/>
    <w:rsid w:val="006A5EA0"/>
    <w:rsid w:val="006A7330"/>
    <w:rsid w:val="006A783B"/>
    <w:rsid w:val="006A7B33"/>
    <w:rsid w:val="006B1C54"/>
    <w:rsid w:val="006B24A9"/>
    <w:rsid w:val="006B4E13"/>
    <w:rsid w:val="006B75DD"/>
    <w:rsid w:val="006C67E0"/>
    <w:rsid w:val="006C7ABA"/>
    <w:rsid w:val="006D0D60"/>
    <w:rsid w:val="006D1122"/>
    <w:rsid w:val="006D1899"/>
    <w:rsid w:val="006D3B1B"/>
    <w:rsid w:val="006D3C00"/>
    <w:rsid w:val="006E3675"/>
    <w:rsid w:val="006E4A7F"/>
    <w:rsid w:val="006E7094"/>
    <w:rsid w:val="006F34FD"/>
    <w:rsid w:val="006F6E7D"/>
    <w:rsid w:val="00700073"/>
    <w:rsid w:val="0070297B"/>
    <w:rsid w:val="00703CF2"/>
    <w:rsid w:val="00704DF6"/>
    <w:rsid w:val="0070651C"/>
    <w:rsid w:val="00706F3E"/>
    <w:rsid w:val="007110F5"/>
    <w:rsid w:val="00711B73"/>
    <w:rsid w:val="00712F02"/>
    <w:rsid w:val="00713114"/>
    <w:rsid w:val="007132A3"/>
    <w:rsid w:val="00716421"/>
    <w:rsid w:val="007206D5"/>
    <w:rsid w:val="00721973"/>
    <w:rsid w:val="00721B8D"/>
    <w:rsid w:val="00722CF7"/>
    <w:rsid w:val="00724EFB"/>
    <w:rsid w:val="007325E0"/>
    <w:rsid w:val="00735110"/>
    <w:rsid w:val="0073797A"/>
    <w:rsid w:val="00740F84"/>
    <w:rsid w:val="007419C3"/>
    <w:rsid w:val="0074275E"/>
    <w:rsid w:val="00745266"/>
    <w:rsid w:val="007467A7"/>
    <w:rsid w:val="007469DD"/>
    <w:rsid w:val="00747036"/>
    <w:rsid w:val="00747378"/>
    <w:rsid w:val="0074741B"/>
    <w:rsid w:val="0074759E"/>
    <w:rsid w:val="007478EA"/>
    <w:rsid w:val="00750C3A"/>
    <w:rsid w:val="007512A5"/>
    <w:rsid w:val="00753847"/>
    <w:rsid w:val="0075415C"/>
    <w:rsid w:val="007558C6"/>
    <w:rsid w:val="00763502"/>
    <w:rsid w:val="0076771F"/>
    <w:rsid w:val="00767B94"/>
    <w:rsid w:val="00774A60"/>
    <w:rsid w:val="00780EC6"/>
    <w:rsid w:val="00784AD5"/>
    <w:rsid w:val="0078687C"/>
    <w:rsid w:val="007876D4"/>
    <w:rsid w:val="007913AB"/>
    <w:rsid w:val="007914F7"/>
    <w:rsid w:val="00792273"/>
    <w:rsid w:val="00796CC2"/>
    <w:rsid w:val="007979DA"/>
    <w:rsid w:val="00797ECB"/>
    <w:rsid w:val="007A280D"/>
    <w:rsid w:val="007A3158"/>
    <w:rsid w:val="007B0420"/>
    <w:rsid w:val="007B1625"/>
    <w:rsid w:val="007B2655"/>
    <w:rsid w:val="007B30F2"/>
    <w:rsid w:val="007B380C"/>
    <w:rsid w:val="007B55E6"/>
    <w:rsid w:val="007B706E"/>
    <w:rsid w:val="007B71EB"/>
    <w:rsid w:val="007C00D2"/>
    <w:rsid w:val="007C1BB4"/>
    <w:rsid w:val="007C6205"/>
    <w:rsid w:val="007C686A"/>
    <w:rsid w:val="007C728E"/>
    <w:rsid w:val="007D0C83"/>
    <w:rsid w:val="007D10BF"/>
    <w:rsid w:val="007D1D34"/>
    <w:rsid w:val="007D201B"/>
    <w:rsid w:val="007D2C53"/>
    <w:rsid w:val="007D3160"/>
    <w:rsid w:val="007D39E1"/>
    <w:rsid w:val="007D3D60"/>
    <w:rsid w:val="007D45B0"/>
    <w:rsid w:val="007E1980"/>
    <w:rsid w:val="007E2EF3"/>
    <w:rsid w:val="007E4B76"/>
    <w:rsid w:val="007E5EA8"/>
    <w:rsid w:val="007E7D7A"/>
    <w:rsid w:val="007F0CF1"/>
    <w:rsid w:val="007F12A5"/>
    <w:rsid w:val="007F4CF1"/>
    <w:rsid w:val="007F6A10"/>
    <w:rsid w:val="007F758D"/>
    <w:rsid w:val="007F7D52"/>
    <w:rsid w:val="008032C2"/>
    <w:rsid w:val="008037D8"/>
    <w:rsid w:val="00803CA9"/>
    <w:rsid w:val="00803EFE"/>
    <w:rsid w:val="008041E9"/>
    <w:rsid w:val="0080654C"/>
    <w:rsid w:val="008071C6"/>
    <w:rsid w:val="008078AF"/>
    <w:rsid w:val="008106F2"/>
    <w:rsid w:val="00812B92"/>
    <w:rsid w:val="00814FF3"/>
    <w:rsid w:val="008158F6"/>
    <w:rsid w:val="008168F1"/>
    <w:rsid w:val="00817A00"/>
    <w:rsid w:val="00821AA0"/>
    <w:rsid w:val="00825832"/>
    <w:rsid w:val="00825DFC"/>
    <w:rsid w:val="00826E20"/>
    <w:rsid w:val="00831400"/>
    <w:rsid w:val="00833E4A"/>
    <w:rsid w:val="00834493"/>
    <w:rsid w:val="008349F5"/>
    <w:rsid w:val="008358E5"/>
    <w:rsid w:val="00835DB3"/>
    <w:rsid w:val="0083617B"/>
    <w:rsid w:val="008371BD"/>
    <w:rsid w:val="00840AA3"/>
    <w:rsid w:val="00842072"/>
    <w:rsid w:val="00842A8B"/>
    <w:rsid w:val="00844CDC"/>
    <w:rsid w:val="00847705"/>
    <w:rsid w:val="008504A8"/>
    <w:rsid w:val="0085282E"/>
    <w:rsid w:val="008535EA"/>
    <w:rsid w:val="00853848"/>
    <w:rsid w:val="008540FB"/>
    <w:rsid w:val="008619BF"/>
    <w:rsid w:val="00864FA1"/>
    <w:rsid w:val="0086538D"/>
    <w:rsid w:val="00865406"/>
    <w:rsid w:val="0086613F"/>
    <w:rsid w:val="00866BD4"/>
    <w:rsid w:val="0087198C"/>
    <w:rsid w:val="00872C1F"/>
    <w:rsid w:val="00872C3D"/>
    <w:rsid w:val="00873B42"/>
    <w:rsid w:val="008742F5"/>
    <w:rsid w:val="0088144D"/>
    <w:rsid w:val="008819D7"/>
    <w:rsid w:val="008824EA"/>
    <w:rsid w:val="00882A1F"/>
    <w:rsid w:val="008856D8"/>
    <w:rsid w:val="00886581"/>
    <w:rsid w:val="008868A1"/>
    <w:rsid w:val="008873D4"/>
    <w:rsid w:val="008879A1"/>
    <w:rsid w:val="008879C8"/>
    <w:rsid w:val="0089177A"/>
    <w:rsid w:val="00892E82"/>
    <w:rsid w:val="0089658B"/>
    <w:rsid w:val="00897479"/>
    <w:rsid w:val="008A0372"/>
    <w:rsid w:val="008A2A09"/>
    <w:rsid w:val="008A2D69"/>
    <w:rsid w:val="008A3025"/>
    <w:rsid w:val="008A31BB"/>
    <w:rsid w:val="008A5D19"/>
    <w:rsid w:val="008B2F8B"/>
    <w:rsid w:val="008B2F9F"/>
    <w:rsid w:val="008B36F9"/>
    <w:rsid w:val="008B5189"/>
    <w:rsid w:val="008C0AEF"/>
    <w:rsid w:val="008C1B58"/>
    <w:rsid w:val="008C24DE"/>
    <w:rsid w:val="008C39AE"/>
    <w:rsid w:val="008C462B"/>
    <w:rsid w:val="008C5052"/>
    <w:rsid w:val="008C590D"/>
    <w:rsid w:val="008D0876"/>
    <w:rsid w:val="008D41E5"/>
    <w:rsid w:val="008D4FCA"/>
    <w:rsid w:val="008E031B"/>
    <w:rsid w:val="008E176F"/>
    <w:rsid w:val="008E272A"/>
    <w:rsid w:val="008E7029"/>
    <w:rsid w:val="008E7EF6"/>
    <w:rsid w:val="008F0215"/>
    <w:rsid w:val="008F1F98"/>
    <w:rsid w:val="008F6758"/>
    <w:rsid w:val="009007C4"/>
    <w:rsid w:val="00900D5D"/>
    <w:rsid w:val="009040DD"/>
    <w:rsid w:val="0090411E"/>
    <w:rsid w:val="00905B47"/>
    <w:rsid w:val="00906CFA"/>
    <w:rsid w:val="009124F6"/>
    <w:rsid w:val="0091331C"/>
    <w:rsid w:val="00914D6F"/>
    <w:rsid w:val="0091654C"/>
    <w:rsid w:val="00917C79"/>
    <w:rsid w:val="00917E36"/>
    <w:rsid w:val="009228EA"/>
    <w:rsid w:val="00924B0C"/>
    <w:rsid w:val="00927986"/>
    <w:rsid w:val="009279DE"/>
    <w:rsid w:val="00930116"/>
    <w:rsid w:val="009309EF"/>
    <w:rsid w:val="0094094D"/>
    <w:rsid w:val="0094212C"/>
    <w:rsid w:val="00943777"/>
    <w:rsid w:val="0094508C"/>
    <w:rsid w:val="00946CBD"/>
    <w:rsid w:val="0095409D"/>
    <w:rsid w:val="00954689"/>
    <w:rsid w:val="009547F8"/>
    <w:rsid w:val="009549FF"/>
    <w:rsid w:val="0095526F"/>
    <w:rsid w:val="009552B6"/>
    <w:rsid w:val="0096078A"/>
    <w:rsid w:val="009617C9"/>
    <w:rsid w:val="00961C93"/>
    <w:rsid w:val="009643C9"/>
    <w:rsid w:val="00965324"/>
    <w:rsid w:val="009664FD"/>
    <w:rsid w:val="009669B8"/>
    <w:rsid w:val="00967870"/>
    <w:rsid w:val="0097091E"/>
    <w:rsid w:val="009719B3"/>
    <w:rsid w:val="009760D3"/>
    <w:rsid w:val="00976269"/>
    <w:rsid w:val="00976AED"/>
    <w:rsid w:val="00977132"/>
    <w:rsid w:val="00981A4B"/>
    <w:rsid w:val="00982501"/>
    <w:rsid w:val="00983507"/>
    <w:rsid w:val="00984D61"/>
    <w:rsid w:val="009863D1"/>
    <w:rsid w:val="0098664B"/>
    <w:rsid w:val="009877D3"/>
    <w:rsid w:val="00991532"/>
    <w:rsid w:val="009929FE"/>
    <w:rsid w:val="00993740"/>
    <w:rsid w:val="0099402F"/>
    <w:rsid w:val="00994318"/>
    <w:rsid w:val="009944B3"/>
    <w:rsid w:val="00994E8F"/>
    <w:rsid w:val="009951DC"/>
    <w:rsid w:val="009959BB"/>
    <w:rsid w:val="00997133"/>
    <w:rsid w:val="00997158"/>
    <w:rsid w:val="009A1F66"/>
    <w:rsid w:val="009A3A7C"/>
    <w:rsid w:val="009A4B4C"/>
    <w:rsid w:val="009B0915"/>
    <w:rsid w:val="009B2ADB"/>
    <w:rsid w:val="009B35D5"/>
    <w:rsid w:val="009B3615"/>
    <w:rsid w:val="009B4DA4"/>
    <w:rsid w:val="009B4DF9"/>
    <w:rsid w:val="009B603A"/>
    <w:rsid w:val="009B7D44"/>
    <w:rsid w:val="009C035F"/>
    <w:rsid w:val="009C2CDC"/>
    <w:rsid w:val="009C2D0E"/>
    <w:rsid w:val="009C3DAC"/>
    <w:rsid w:val="009C42E0"/>
    <w:rsid w:val="009D019A"/>
    <w:rsid w:val="009D19B7"/>
    <w:rsid w:val="009D2209"/>
    <w:rsid w:val="009D26D4"/>
    <w:rsid w:val="009D363F"/>
    <w:rsid w:val="009D410C"/>
    <w:rsid w:val="009D5362"/>
    <w:rsid w:val="009E1415"/>
    <w:rsid w:val="009E1656"/>
    <w:rsid w:val="009E2A2F"/>
    <w:rsid w:val="009E5317"/>
    <w:rsid w:val="009E5A2B"/>
    <w:rsid w:val="009E6116"/>
    <w:rsid w:val="009E7A91"/>
    <w:rsid w:val="009F1626"/>
    <w:rsid w:val="009F5947"/>
    <w:rsid w:val="009F5B6D"/>
    <w:rsid w:val="009F6ED8"/>
    <w:rsid w:val="009F737A"/>
    <w:rsid w:val="00A015D8"/>
    <w:rsid w:val="00A01E32"/>
    <w:rsid w:val="00A0210C"/>
    <w:rsid w:val="00A0237C"/>
    <w:rsid w:val="00A02E43"/>
    <w:rsid w:val="00A0308A"/>
    <w:rsid w:val="00A0457B"/>
    <w:rsid w:val="00A065F9"/>
    <w:rsid w:val="00A07F34"/>
    <w:rsid w:val="00A1001C"/>
    <w:rsid w:val="00A110CE"/>
    <w:rsid w:val="00A11823"/>
    <w:rsid w:val="00A17586"/>
    <w:rsid w:val="00A22154"/>
    <w:rsid w:val="00A222A7"/>
    <w:rsid w:val="00A24E9C"/>
    <w:rsid w:val="00A25C38"/>
    <w:rsid w:val="00A26A35"/>
    <w:rsid w:val="00A313D5"/>
    <w:rsid w:val="00A36BBE"/>
    <w:rsid w:val="00A4307A"/>
    <w:rsid w:val="00A451BC"/>
    <w:rsid w:val="00A4623D"/>
    <w:rsid w:val="00A46DEE"/>
    <w:rsid w:val="00A47EBB"/>
    <w:rsid w:val="00A51CDD"/>
    <w:rsid w:val="00A51EAE"/>
    <w:rsid w:val="00A53F0E"/>
    <w:rsid w:val="00A54265"/>
    <w:rsid w:val="00A56A43"/>
    <w:rsid w:val="00A574DD"/>
    <w:rsid w:val="00A600DF"/>
    <w:rsid w:val="00A63D39"/>
    <w:rsid w:val="00A6511B"/>
    <w:rsid w:val="00A6730D"/>
    <w:rsid w:val="00A71625"/>
    <w:rsid w:val="00A71B9B"/>
    <w:rsid w:val="00A74264"/>
    <w:rsid w:val="00A751C7"/>
    <w:rsid w:val="00A771DC"/>
    <w:rsid w:val="00A77550"/>
    <w:rsid w:val="00A80273"/>
    <w:rsid w:val="00A87844"/>
    <w:rsid w:val="00A87A8C"/>
    <w:rsid w:val="00A90513"/>
    <w:rsid w:val="00A90F99"/>
    <w:rsid w:val="00A9668A"/>
    <w:rsid w:val="00AA038C"/>
    <w:rsid w:val="00AA4278"/>
    <w:rsid w:val="00AA4B21"/>
    <w:rsid w:val="00AA6187"/>
    <w:rsid w:val="00AA7A09"/>
    <w:rsid w:val="00AA7DFF"/>
    <w:rsid w:val="00AB2156"/>
    <w:rsid w:val="00AB3B50"/>
    <w:rsid w:val="00AB6BC6"/>
    <w:rsid w:val="00AC05B1"/>
    <w:rsid w:val="00AC2AD6"/>
    <w:rsid w:val="00AD356C"/>
    <w:rsid w:val="00AD3CDF"/>
    <w:rsid w:val="00AE1DBC"/>
    <w:rsid w:val="00AE2914"/>
    <w:rsid w:val="00AE64E1"/>
    <w:rsid w:val="00AE6D15"/>
    <w:rsid w:val="00AE78FE"/>
    <w:rsid w:val="00AF2867"/>
    <w:rsid w:val="00AF2AC7"/>
    <w:rsid w:val="00AF4634"/>
    <w:rsid w:val="00AF5806"/>
    <w:rsid w:val="00B018F5"/>
    <w:rsid w:val="00B03B48"/>
    <w:rsid w:val="00B04182"/>
    <w:rsid w:val="00B073E9"/>
    <w:rsid w:val="00B07AE3"/>
    <w:rsid w:val="00B07F4C"/>
    <w:rsid w:val="00B104D1"/>
    <w:rsid w:val="00B11430"/>
    <w:rsid w:val="00B173CA"/>
    <w:rsid w:val="00B25EB5"/>
    <w:rsid w:val="00B30388"/>
    <w:rsid w:val="00B318B0"/>
    <w:rsid w:val="00B33850"/>
    <w:rsid w:val="00B345DD"/>
    <w:rsid w:val="00B34D89"/>
    <w:rsid w:val="00B353EB"/>
    <w:rsid w:val="00B35865"/>
    <w:rsid w:val="00B436D7"/>
    <w:rsid w:val="00B439C4"/>
    <w:rsid w:val="00B44D4A"/>
    <w:rsid w:val="00B4535E"/>
    <w:rsid w:val="00B52A8C"/>
    <w:rsid w:val="00B52A9B"/>
    <w:rsid w:val="00B5432D"/>
    <w:rsid w:val="00B57D0C"/>
    <w:rsid w:val="00B6099F"/>
    <w:rsid w:val="00B636A8"/>
    <w:rsid w:val="00B665C6"/>
    <w:rsid w:val="00B70CBF"/>
    <w:rsid w:val="00B761ED"/>
    <w:rsid w:val="00B767BA"/>
    <w:rsid w:val="00B80322"/>
    <w:rsid w:val="00B805AF"/>
    <w:rsid w:val="00B81CA0"/>
    <w:rsid w:val="00B8504F"/>
    <w:rsid w:val="00B86344"/>
    <w:rsid w:val="00B86669"/>
    <w:rsid w:val="00B869EC"/>
    <w:rsid w:val="00B9050A"/>
    <w:rsid w:val="00B9343C"/>
    <w:rsid w:val="00B9397A"/>
    <w:rsid w:val="00B9633D"/>
    <w:rsid w:val="00BA01E2"/>
    <w:rsid w:val="00BA2EBE"/>
    <w:rsid w:val="00BA53DF"/>
    <w:rsid w:val="00BB0465"/>
    <w:rsid w:val="00BB0F28"/>
    <w:rsid w:val="00BB458A"/>
    <w:rsid w:val="00BB6C2C"/>
    <w:rsid w:val="00BC14A3"/>
    <w:rsid w:val="00BC185B"/>
    <w:rsid w:val="00BC263D"/>
    <w:rsid w:val="00BD00D3"/>
    <w:rsid w:val="00BD1659"/>
    <w:rsid w:val="00BD1A56"/>
    <w:rsid w:val="00BD3711"/>
    <w:rsid w:val="00BD3AA9"/>
    <w:rsid w:val="00BD4A18"/>
    <w:rsid w:val="00BD6651"/>
    <w:rsid w:val="00BD6DB2"/>
    <w:rsid w:val="00BE11CF"/>
    <w:rsid w:val="00BE21AB"/>
    <w:rsid w:val="00BE3B9C"/>
    <w:rsid w:val="00BE4D02"/>
    <w:rsid w:val="00BE55CB"/>
    <w:rsid w:val="00BE6214"/>
    <w:rsid w:val="00BF165C"/>
    <w:rsid w:val="00BF1B7F"/>
    <w:rsid w:val="00BF1D49"/>
    <w:rsid w:val="00BF225A"/>
    <w:rsid w:val="00BF617A"/>
    <w:rsid w:val="00C00CEF"/>
    <w:rsid w:val="00C01D44"/>
    <w:rsid w:val="00C01EC1"/>
    <w:rsid w:val="00C0379D"/>
    <w:rsid w:val="00C03931"/>
    <w:rsid w:val="00C057C9"/>
    <w:rsid w:val="00C05FE3"/>
    <w:rsid w:val="00C13027"/>
    <w:rsid w:val="00C15430"/>
    <w:rsid w:val="00C17A26"/>
    <w:rsid w:val="00C2136D"/>
    <w:rsid w:val="00C214EE"/>
    <w:rsid w:val="00C2274A"/>
    <w:rsid w:val="00C2314B"/>
    <w:rsid w:val="00C23545"/>
    <w:rsid w:val="00C24971"/>
    <w:rsid w:val="00C2661C"/>
    <w:rsid w:val="00C26BE5"/>
    <w:rsid w:val="00C26E4D"/>
    <w:rsid w:val="00C27909"/>
    <w:rsid w:val="00C27B03"/>
    <w:rsid w:val="00C314E1"/>
    <w:rsid w:val="00C33D64"/>
    <w:rsid w:val="00C34397"/>
    <w:rsid w:val="00C351A9"/>
    <w:rsid w:val="00C3762A"/>
    <w:rsid w:val="00C4095D"/>
    <w:rsid w:val="00C42B82"/>
    <w:rsid w:val="00C4438C"/>
    <w:rsid w:val="00C4516E"/>
    <w:rsid w:val="00C453AC"/>
    <w:rsid w:val="00C51AF3"/>
    <w:rsid w:val="00C52DE4"/>
    <w:rsid w:val="00C532D0"/>
    <w:rsid w:val="00C56117"/>
    <w:rsid w:val="00C57482"/>
    <w:rsid w:val="00C57866"/>
    <w:rsid w:val="00C601D2"/>
    <w:rsid w:val="00C631FE"/>
    <w:rsid w:val="00C657AB"/>
    <w:rsid w:val="00C65BCC"/>
    <w:rsid w:val="00C65DB0"/>
    <w:rsid w:val="00C66970"/>
    <w:rsid w:val="00C674A8"/>
    <w:rsid w:val="00C731E8"/>
    <w:rsid w:val="00C733D3"/>
    <w:rsid w:val="00C74C4A"/>
    <w:rsid w:val="00C7600B"/>
    <w:rsid w:val="00C809DE"/>
    <w:rsid w:val="00C81C1E"/>
    <w:rsid w:val="00C820EA"/>
    <w:rsid w:val="00C84653"/>
    <w:rsid w:val="00C860F7"/>
    <w:rsid w:val="00C8691C"/>
    <w:rsid w:val="00C913F4"/>
    <w:rsid w:val="00C92F48"/>
    <w:rsid w:val="00C944E3"/>
    <w:rsid w:val="00C9634F"/>
    <w:rsid w:val="00CA0CFF"/>
    <w:rsid w:val="00CA0DC1"/>
    <w:rsid w:val="00CA168A"/>
    <w:rsid w:val="00CA357E"/>
    <w:rsid w:val="00CA44F9"/>
    <w:rsid w:val="00CA4A69"/>
    <w:rsid w:val="00CA61A0"/>
    <w:rsid w:val="00CA6AB2"/>
    <w:rsid w:val="00CA6C37"/>
    <w:rsid w:val="00CA7330"/>
    <w:rsid w:val="00CA7661"/>
    <w:rsid w:val="00CB03D0"/>
    <w:rsid w:val="00CB3089"/>
    <w:rsid w:val="00CB627D"/>
    <w:rsid w:val="00CC3E0C"/>
    <w:rsid w:val="00CC4EF2"/>
    <w:rsid w:val="00CC58D3"/>
    <w:rsid w:val="00CC5C47"/>
    <w:rsid w:val="00CC665C"/>
    <w:rsid w:val="00CC784D"/>
    <w:rsid w:val="00CD18D3"/>
    <w:rsid w:val="00CD1F17"/>
    <w:rsid w:val="00CD7D0A"/>
    <w:rsid w:val="00CE1786"/>
    <w:rsid w:val="00CE2EB6"/>
    <w:rsid w:val="00CE5D79"/>
    <w:rsid w:val="00CE7B35"/>
    <w:rsid w:val="00CF4120"/>
    <w:rsid w:val="00CF5CCD"/>
    <w:rsid w:val="00D000BB"/>
    <w:rsid w:val="00D02C36"/>
    <w:rsid w:val="00D0337B"/>
    <w:rsid w:val="00D03EAB"/>
    <w:rsid w:val="00D041E8"/>
    <w:rsid w:val="00D062F2"/>
    <w:rsid w:val="00D079B2"/>
    <w:rsid w:val="00D109FB"/>
    <w:rsid w:val="00D10D7A"/>
    <w:rsid w:val="00D114E9"/>
    <w:rsid w:val="00D12E16"/>
    <w:rsid w:val="00D16795"/>
    <w:rsid w:val="00D1694F"/>
    <w:rsid w:val="00D17E44"/>
    <w:rsid w:val="00D21861"/>
    <w:rsid w:val="00D21BD1"/>
    <w:rsid w:val="00D22C90"/>
    <w:rsid w:val="00D230C1"/>
    <w:rsid w:val="00D31BC2"/>
    <w:rsid w:val="00D40889"/>
    <w:rsid w:val="00D40F8A"/>
    <w:rsid w:val="00D415F6"/>
    <w:rsid w:val="00D429C6"/>
    <w:rsid w:val="00D43DD9"/>
    <w:rsid w:val="00D446CB"/>
    <w:rsid w:val="00D46046"/>
    <w:rsid w:val="00D47748"/>
    <w:rsid w:val="00D5475A"/>
    <w:rsid w:val="00D54CC3"/>
    <w:rsid w:val="00D554FB"/>
    <w:rsid w:val="00D56A8E"/>
    <w:rsid w:val="00D6041A"/>
    <w:rsid w:val="00D61D63"/>
    <w:rsid w:val="00D633EB"/>
    <w:rsid w:val="00D6555D"/>
    <w:rsid w:val="00D67085"/>
    <w:rsid w:val="00D674C6"/>
    <w:rsid w:val="00D70C54"/>
    <w:rsid w:val="00D70DCC"/>
    <w:rsid w:val="00D74648"/>
    <w:rsid w:val="00D775D6"/>
    <w:rsid w:val="00D77712"/>
    <w:rsid w:val="00D81868"/>
    <w:rsid w:val="00D82FF7"/>
    <w:rsid w:val="00D833A8"/>
    <w:rsid w:val="00D847FE"/>
    <w:rsid w:val="00D93649"/>
    <w:rsid w:val="00D94F1A"/>
    <w:rsid w:val="00D964EA"/>
    <w:rsid w:val="00D966D0"/>
    <w:rsid w:val="00D96F08"/>
    <w:rsid w:val="00D97CF7"/>
    <w:rsid w:val="00DA0C59"/>
    <w:rsid w:val="00DA1521"/>
    <w:rsid w:val="00DA3991"/>
    <w:rsid w:val="00DB355A"/>
    <w:rsid w:val="00DB4B99"/>
    <w:rsid w:val="00DB66CC"/>
    <w:rsid w:val="00DB7E6C"/>
    <w:rsid w:val="00DC1924"/>
    <w:rsid w:val="00DC6D06"/>
    <w:rsid w:val="00DC720F"/>
    <w:rsid w:val="00DC779D"/>
    <w:rsid w:val="00DD0610"/>
    <w:rsid w:val="00DD1B13"/>
    <w:rsid w:val="00DD23DA"/>
    <w:rsid w:val="00DD5A29"/>
    <w:rsid w:val="00DD5D9D"/>
    <w:rsid w:val="00DE220C"/>
    <w:rsid w:val="00DE35CB"/>
    <w:rsid w:val="00DE4E69"/>
    <w:rsid w:val="00DE6B65"/>
    <w:rsid w:val="00DF21E9"/>
    <w:rsid w:val="00DF35AD"/>
    <w:rsid w:val="00DF4454"/>
    <w:rsid w:val="00DF69ED"/>
    <w:rsid w:val="00E00F14"/>
    <w:rsid w:val="00E04686"/>
    <w:rsid w:val="00E06386"/>
    <w:rsid w:val="00E11C24"/>
    <w:rsid w:val="00E11EB9"/>
    <w:rsid w:val="00E157FF"/>
    <w:rsid w:val="00E203A6"/>
    <w:rsid w:val="00E23D1F"/>
    <w:rsid w:val="00E24EB4"/>
    <w:rsid w:val="00E25440"/>
    <w:rsid w:val="00E31B86"/>
    <w:rsid w:val="00E320ED"/>
    <w:rsid w:val="00E33AFB"/>
    <w:rsid w:val="00E34218"/>
    <w:rsid w:val="00E4052A"/>
    <w:rsid w:val="00E4077D"/>
    <w:rsid w:val="00E420EC"/>
    <w:rsid w:val="00E43914"/>
    <w:rsid w:val="00E44792"/>
    <w:rsid w:val="00E4507C"/>
    <w:rsid w:val="00E4579B"/>
    <w:rsid w:val="00E46282"/>
    <w:rsid w:val="00E47BA7"/>
    <w:rsid w:val="00E515BE"/>
    <w:rsid w:val="00E5216E"/>
    <w:rsid w:val="00E54360"/>
    <w:rsid w:val="00E5495F"/>
    <w:rsid w:val="00E610D0"/>
    <w:rsid w:val="00E6158D"/>
    <w:rsid w:val="00E61BCD"/>
    <w:rsid w:val="00E623BA"/>
    <w:rsid w:val="00E62EBA"/>
    <w:rsid w:val="00E633A3"/>
    <w:rsid w:val="00E64B4A"/>
    <w:rsid w:val="00E67513"/>
    <w:rsid w:val="00E70A1D"/>
    <w:rsid w:val="00E7486E"/>
    <w:rsid w:val="00E77D25"/>
    <w:rsid w:val="00E8174D"/>
    <w:rsid w:val="00E82344"/>
    <w:rsid w:val="00E82ECA"/>
    <w:rsid w:val="00E8335D"/>
    <w:rsid w:val="00E83B58"/>
    <w:rsid w:val="00E84C82"/>
    <w:rsid w:val="00E84D64"/>
    <w:rsid w:val="00E85E8C"/>
    <w:rsid w:val="00E87408"/>
    <w:rsid w:val="00E90BEF"/>
    <w:rsid w:val="00E914C4"/>
    <w:rsid w:val="00E92167"/>
    <w:rsid w:val="00E934F5"/>
    <w:rsid w:val="00E94C3F"/>
    <w:rsid w:val="00E96961"/>
    <w:rsid w:val="00E9760C"/>
    <w:rsid w:val="00EA0243"/>
    <w:rsid w:val="00EA72EC"/>
    <w:rsid w:val="00EB0FC2"/>
    <w:rsid w:val="00EB11CB"/>
    <w:rsid w:val="00EB1C86"/>
    <w:rsid w:val="00EB275A"/>
    <w:rsid w:val="00EB2C27"/>
    <w:rsid w:val="00EB2F70"/>
    <w:rsid w:val="00EB360C"/>
    <w:rsid w:val="00EB4AD6"/>
    <w:rsid w:val="00EB4B6D"/>
    <w:rsid w:val="00EB786A"/>
    <w:rsid w:val="00EC1578"/>
    <w:rsid w:val="00EC1C72"/>
    <w:rsid w:val="00EC3649"/>
    <w:rsid w:val="00EC3A58"/>
    <w:rsid w:val="00EC3CC9"/>
    <w:rsid w:val="00EC63A5"/>
    <w:rsid w:val="00EC680A"/>
    <w:rsid w:val="00ED1D0C"/>
    <w:rsid w:val="00ED5D1B"/>
    <w:rsid w:val="00ED65C7"/>
    <w:rsid w:val="00EE0DA9"/>
    <w:rsid w:val="00EE1340"/>
    <w:rsid w:val="00EE20C3"/>
    <w:rsid w:val="00EE2BED"/>
    <w:rsid w:val="00EE374B"/>
    <w:rsid w:val="00EE6FDA"/>
    <w:rsid w:val="00EE7458"/>
    <w:rsid w:val="00EF19B1"/>
    <w:rsid w:val="00EF303C"/>
    <w:rsid w:val="00EF57A8"/>
    <w:rsid w:val="00EF7E9A"/>
    <w:rsid w:val="00F00849"/>
    <w:rsid w:val="00F00AB5"/>
    <w:rsid w:val="00F03F6C"/>
    <w:rsid w:val="00F108EF"/>
    <w:rsid w:val="00F117AD"/>
    <w:rsid w:val="00F11BB5"/>
    <w:rsid w:val="00F12046"/>
    <w:rsid w:val="00F12281"/>
    <w:rsid w:val="00F122F6"/>
    <w:rsid w:val="00F12E11"/>
    <w:rsid w:val="00F13305"/>
    <w:rsid w:val="00F1417B"/>
    <w:rsid w:val="00F14224"/>
    <w:rsid w:val="00F17206"/>
    <w:rsid w:val="00F20E53"/>
    <w:rsid w:val="00F210B9"/>
    <w:rsid w:val="00F30628"/>
    <w:rsid w:val="00F34B99"/>
    <w:rsid w:val="00F36B84"/>
    <w:rsid w:val="00F41274"/>
    <w:rsid w:val="00F413B6"/>
    <w:rsid w:val="00F41B98"/>
    <w:rsid w:val="00F439D6"/>
    <w:rsid w:val="00F528C1"/>
    <w:rsid w:val="00F52DAB"/>
    <w:rsid w:val="00F52F69"/>
    <w:rsid w:val="00F543F0"/>
    <w:rsid w:val="00F5526C"/>
    <w:rsid w:val="00F56A89"/>
    <w:rsid w:val="00F6170F"/>
    <w:rsid w:val="00F679EB"/>
    <w:rsid w:val="00F7107E"/>
    <w:rsid w:val="00F72F08"/>
    <w:rsid w:val="00F734E3"/>
    <w:rsid w:val="00F81D29"/>
    <w:rsid w:val="00F84B55"/>
    <w:rsid w:val="00F86348"/>
    <w:rsid w:val="00F91C4D"/>
    <w:rsid w:val="00F92FD9"/>
    <w:rsid w:val="00FA6684"/>
    <w:rsid w:val="00FA71CD"/>
    <w:rsid w:val="00FA731E"/>
    <w:rsid w:val="00FB2B38"/>
    <w:rsid w:val="00FB459E"/>
    <w:rsid w:val="00FB61E3"/>
    <w:rsid w:val="00FC0504"/>
    <w:rsid w:val="00FC3B59"/>
    <w:rsid w:val="00FC6358"/>
    <w:rsid w:val="00FD320D"/>
    <w:rsid w:val="00FD350A"/>
    <w:rsid w:val="00FD3F5A"/>
    <w:rsid w:val="00FE23DE"/>
    <w:rsid w:val="00FE5D03"/>
    <w:rsid w:val="00FE7DB9"/>
    <w:rsid w:val="00FF0A82"/>
    <w:rsid w:val="00FF3B47"/>
    <w:rsid w:val="00FF633E"/>
    <w:rsid w:val="05052522"/>
    <w:rsid w:val="0A0B45A4"/>
    <w:rsid w:val="0D5E479E"/>
    <w:rsid w:val="0DE5683E"/>
    <w:rsid w:val="12AD148F"/>
    <w:rsid w:val="140E7FD9"/>
    <w:rsid w:val="143B3408"/>
    <w:rsid w:val="24C231AB"/>
    <w:rsid w:val="38793840"/>
    <w:rsid w:val="39B00A3D"/>
    <w:rsid w:val="40842068"/>
    <w:rsid w:val="4C0F3016"/>
    <w:rsid w:val="4F2510B2"/>
    <w:rsid w:val="541E2A61"/>
    <w:rsid w:val="5C4C53FF"/>
    <w:rsid w:val="5DC702F2"/>
    <w:rsid w:val="5DEF3290"/>
    <w:rsid w:val="60603FF1"/>
    <w:rsid w:val="65474468"/>
    <w:rsid w:val="6641099A"/>
    <w:rsid w:val="6B313524"/>
    <w:rsid w:val="6BD11735"/>
    <w:rsid w:val="6D961FE0"/>
    <w:rsid w:val="703F21A1"/>
    <w:rsid w:val="70CA3924"/>
    <w:rsid w:val="72B44B1C"/>
    <w:rsid w:val="7903630E"/>
    <w:rsid w:val="7DF31D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uiPriority="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uiPriority="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3"/>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144"/>
    <w:semiHidden/>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145"/>
    <w:semiHidden/>
    <w:unhideWhenUsed/>
    <w:qFormat/>
    <w:uiPriority w:val="9"/>
    <w:pPr>
      <w:keepNext/>
      <w:keepLines/>
      <w:spacing w:before="260" w:after="260" w:line="416" w:lineRule="auto"/>
      <w:outlineLvl w:val="2"/>
    </w:pPr>
    <w:rPr>
      <w:rFonts w:ascii="Calibri" w:hAnsi="Calibri"/>
      <w:b/>
      <w:bCs/>
      <w:sz w:val="32"/>
      <w:szCs w:val="32"/>
    </w:rPr>
  </w:style>
  <w:style w:type="character" w:default="1" w:styleId="36">
    <w:name w:val="Default Paragraph Font"/>
    <w:semiHidden/>
    <w:unhideWhenUsed/>
    <w:qFormat/>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5">
    <w:name w:val="toc 7"/>
    <w:basedOn w:val="1"/>
    <w:next w:val="1"/>
    <w:semiHidden/>
    <w:qFormat/>
    <w:uiPriority w:val="0"/>
    <w:pPr>
      <w:tabs>
        <w:tab w:val="right" w:leader="dot" w:pos="9241"/>
      </w:tabs>
      <w:ind w:firstLine="505" w:firstLineChars="500"/>
      <w:jc w:val="left"/>
    </w:pPr>
    <w:rPr>
      <w:rFonts w:ascii="宋体"/>
      <w:szCs w:val="21"/>
    </w:rPr>
  </w:style>
  <w:style w:type="paragraph" w:styleId="6">
    <w:name w:val="index 8"/>
    <w:basedOn w:val="1"/>
    <w:next w:val="1"/>
    <w:qFormat/>
    <w:uiPriority w:val="0"/>
    <w:pPr>
      <w:ind w:left="1680" w:hanging="210"/>
      <w:jc w:val="left"/>
    </w:pPr>
    <w:rPr>
      <w:rFonts w:ascii="Calibri" w:hAnsi="Calibri"/>
      <w:sz w:val="20"/>
      <w:szCs w:val="20"/>
    </w:rPr>
  </w:style>
  <w:style w:type="paragraph" w:styleId="7">
    <w:name w:val="caption"/>
    <w:basedOn w:val="1"/>
    <w:next w:val="1"/>
    <w:qFormat/>
    <w:uiPriority w:val="0"/>
    <w:pPr>
      <w:spacing w:before="152" w:after="160"/>
    </w:pPr>
    <w:rPr>
      <w:rFonts w:ascii="Arial" w:hAnsi="Arial" w:eastAsia="黑体" w:cs="Arial"/>
      <w:sz w:val="20"/>
      <w:szCs w:val="20"/>
    </w:rPr>
  </w:style>
  <w:style w:type="paragraph" w:styleId="8">
    <w:name w:val="index 5"/>
    <w:basedOn w:val="1"/>
    <w:next w:val="1"/>
    <w:qFormat/>
    <w:uiPriority w:val="0"/>
    <w:pPr>
      <w:ind w:left="1050" w:hanging="210"/>
      <w:jc w:val="left"/>
    </w:pPr>
    <w:rPr>
      <w:rFonts w:ascii="Calibri" w:hAnsi="Calibri"/>
      <w:sz w:val="20"/>
      <w:szCs w:val="20"/>
    </w:rPr>
  </w:style>
  <w:style w:type="paragraph" w:styleId="9">
    <w:name w:val="Document Map"/>
    <w:basedOn w:val="1"/>
    <w:semiHidden/>
    <w:qFormat/>
    <w:uiPriority w:val="0"/>
    <w:pPr>
      <w:shd w:val="clear" w:color="auto" w:fill="000080"/>
    </w:pPr>
  </w:style>
  <w:style w:type="paragraph" w:styleId="10">
    <w:name w:val="index 6"/>
    <w:basedOn w:val="1"/>
    <w:next w:val="1"/>
    <w:qFormat/>
    <w:uiPriority w:val="0"/>
    <w:pPr>
      <w:ind w:left="1260" w:hanging="210"/>
      <w:jc w:val="left"/>
    </w:pPr>
    <w:rPr>
      <w:rFonts w:ascii="Calibri" w:hAnsi="Calibri"/>
      <w:sz w:val="20"/>
      <w:szCs w:val="20"/>
    </w:rPr>
  </w:style>
  <w:style w:type="paragraph" w:styleId="11">
    <w:name w:val="index 4"/>
    <w:basedOn w:val="1"/>
    <w:next w:val="1"/>
    <w:qFormat/>
    <w:uiPriority w:val="0"/>
    <w:pPr>
      <w:ind w:left="840" w:hanging="210"/>
      <w:jc w:val="left"/>
    </w:pPr>
    <w:rPr>
      <w:rFonts w:ascii="Calibri" w:hAnsi="Calibri"/>
      <w:sz w:val="20"/>
      <w:szCs w:val="20"/>
    </w:rPr>
  </w:style>
  <w:style w:type="paragraph" w:styleId="12">
    <w:name w:val="toc 5"/>
    <w:basedOn w:val="1"/>
    <w:next w:val="1"/>
    <w:semiHidden/>
    <w:qFormat/>
    <w:uiPriority w:val="0"/>
    <w:pPr>
      <w:tabs>
        <w:tab w:val="right" w:leader="dot" w:pos="9241"/>
      </w:tabs>
      <w:ind w:firstLine="300" w:firstLineChars="300"/>
      <w:jc w:val="left"/>
    </w:pPr>
    <w:rPr>
      <w:rFonts w:ascii="宋体"/>
      <w:szCs w:val="21"/>
    </w:rPr>
  </w:style>
  <w:style w:type="paragraph" w:styleId="13">
    <w:name w:val="toc 3"/>
    <w:basedOn w:val="1"/>
    <w:next w:val="1"/>
    <w:semiHidden/>
    <w:qFormat/>
    <w:uiPriority w:val="0"/>
    <w:pPr>
      <w:tabs>
        <w:tab w:val="right" w:leader="dot" w:pos="9241"/>
      </w:tabs>
      <w:ind w:firstLine="102" w:firstLineChars="100"/>
      <w:jc w:val="left"/>
    </w:pPr>
    <w:rPr>
      <w:rFonts w:ascii="宋体"/>
      <w:szCs w:val="21"/>
    </w:rPr>
  </w:style>
  <w:style w:type="paragraph" w:styleId="14">
    <w:name w:val="toc 8"/>
    <w:basedOn w:val="1"/>
    <w:next w:val="1"/>
    <w:semiHidden/>
    <w:qFormat/>
    <w:uiPriority w:val="0"/>
    <w:pPr>
      <w:tabs>
        <w:tab w:val="right" w:leader="dot" w:pos="9241"/>
      </w:tabs>
      <w:ind w:firstLine="607" w:firstLineChars="600"/>
      <w:jc w:val="left"/>
    </w:pPr>
    <w:rPr>
      <w:rFonts w:ascii="宋体"/>
      <w:szCs w:val="21"/>
    </w:rPr>
  </w:style>
  <w:style w:type="paragraph" w:styleId="15">
    <w:name w:val="index 3"/>
    <w:basedOn w:val="1"/>
    <w:next w:val="1"/>
    <w:qFormat/>
    <w:uiPriority w:val="0"/>
    <w:pPr>
      <w:ind w:left="630" w:hanging="210"/>
      <w:jc w:val="left"/>
    </w:pPr>
    <w:rPr>
      <w:rFonts w:ascii="Calibri" w:hAnsi="Calibri"/>
      <w:sz w:val="20"/>
      <w:szCs w:val="20"/>
    </w:rPr>
  </w:style>
  <w:style w:type="paragraph" w:styleId="16">
    <w:name w:val="Date"/>
    <w:basedOn w:val="1"/>
    <w:next w:val="1"/>
    <w:link w:val="154"/>
    <w:semiHidden/>
    <w:unhideWhenUsed/>
    <w:uiPriority w:val="0"/>
    <w:pPr>
      <w:ind w:left="100" w:leftChars="2500"/>
    </w:pPr>
  </w:style>
  <w:style w:type="paragraph" w:styleId="17">
    <w:name w:val="endnote text"/>
    <w:basedOn w:val="1"/>
    <w:semiHidden/>
    <w:qFormat/>
    <w:uiPriority w:val="0"/>
    <w:pPr>
      <w:snapToGrid w:val="0"/>
      <w:jc w:val="left"/>
    </w:pPr>
  </w:style>
  <w:style w:type="paragraph" w:styleId="18">
    <w:name w:val="Balloon Text"/>
    <w:basedOn w:val="1"/>
    <w:link w:val="138"/>
    <w:qFormat/>
    <w:uiPriority w:val="99"/>
    <w:rPr>
      <w:sz w:val="18"/>
      <w:szCs w:val="18"/>
    </w:rPr>
  </w:style>
  <w:style w:type="paragraph" w:styleId="19">
    <w:name w:val="footer"/>
    <w:basedOn w:val="1"/>
    <w:link w:val="150"/>
    <w:qFormat/>
    <w:uiPriority w:val="99"/>
    <w:pPr>
      <w:snapToGrid w:val="0"/>
      <w:ind w:right="210" w:rightChars="100"/>
      <w:jc w:val="right"/>
    </w:pPr>
    <w:rPr>
      <w:sz w:val="18"/>
      <w:szCs w:val="18"/>
    </w:rPr>
  </w:style>
  <w:style w:type="paragraph" w:styleId="20">
    <w:name w:val="header"/>
    <w:basedOn w:val="1"/>
    <w:link w:val="149"/>
    <w:qFormat/>
    <w:uiPriority w:val="99"/>
    <w:pPr>
      <w:snapToGrid w:val="0"/>
      <w:jc w:val="left"/>
    </w:pPr>
    <w:rPr>
      <w:sz w:val="18"/>
      <w:szCs w:val="18"/>
    </w:rPr>
  </w:style>
  <w:style w:type="paragraph" w:styleId="21">
    <w:name w:val="toc 1"/>
    <w:basedOn w:val="1"/>
    <w:next w:val="1"/>
    <w:qFormat/>
    <w:uiPriority w:val="39"/>
    <w:pPr>
      <w:tabs>
        <w:tab w:val="right" w:leader="dot" w:pos="9241"/>
      </w:tabs>
      <w:spacing w:beforeLines="25" w:afterLines="25"/>
      <w:jc w:val="left"/>
    </w:pPr>
    <w:rPr>
      <w:rFonts w:ascii="宋体"/>
      <w:szCs w:val="21"/>
    </w:rPr>
  </w:style>
  <w:style w:type="paragraph" w:styleId="22">
    <w:name w:val="toc 4"/>
    <w:basedOn w:val="1"/>
    <w:next w:val="1"/>
    <w:semiHidden/>
    <w:qFormat/>
    <w:uiPriority w:val="0"/>
    <w:pPr>
      <w:tabs>
        <w:tab w:val="right" w:leader="dot" w:pos="9241"/>
      </w:tabs>
      <w:ind w:firstLine="198" w:firstLineChars="200"/>
      <w:jc w:val="left"/>
    </w:pPr>
    <w:rPr>
      <w:rFonts w:ascii="宋体"/>
      <w:szCs w:val="21"/>
    </w:rPr>
  </w:style>
  <w:style w:type="paragraph" w:styleId="23">
    <w:name w:val="index heading"/>
    <w:basedOn w:val="1"/>
    <w:next w:val="24"/>
    <w:qFormat/>
    <w:uiPriority w:val="0"/>
    <w:pPr>
      <w:spacing w:before="120" w:after="120"/>
      <w:jc w:val="center"/>
    </w:pPr>
    <w:rPr>
      <w:rFonts w:ascii="Calibri" w:hAnsi="Calibri"/>
      <w:b/>
      <w:bCs/>
      <w:iCs/>
      <w:szCs w:val="20"/>
    </w:rPr>
  </w:style>
  <w:style w:type="paragraph" w:styleId="24">
    <w:name w:val="index 1"/>
    <w:basedOn w:val="1"/>
    <w:next w:val="25"/>
    <w:qFormat/>
    <w:uiPriority w:val="0"/>
    <w:pPr>
      <w:tabs>
        <w:tab w:val="right" w:leader="dot" w:pos="9299"/>
      </w:tabs>
      <w:jc w:val="left"/>
    </w:pPr>
    <w:rPr>
      <w:rFonts w:ascii="宋体"/>
      <w:szCs w:val="21"/>
    </w:rPr>
  </w:style>
  <w:style w:type="paragraph" w:customStyle="1" w:styleId="25">
    <w:name w:val="段"/>
    <w:link w:val="134"/>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6">
    <w:name w:val="footnote text"/>
    <w:basedOn w:val="1"/>
    <w:qFormat/>
    <w:uiPriority w:val="0"/>
    <w:pPr>
      <w:numPr>
        <w:ilvl w:val="0"/>
        <w:numId w:val="1"/>
      </w:numPr>
      <w:snapToGrid w:val="0"/>
      <w:jc w:val="left"/>
    </w:pPr>
    <w:rPr>
      <w:rFonts w:ascii="宋体"/>
      <w:sz w:val="18"/>
      <w:szCs w:val="18"/>
    </w:rPr>
  </w:style>
  <w:style w:type="paragraph" w:styleId="27">
    <w:name w:val="toc 6"/>
    <w:basedOn w:val="1"/>
    <w:next w:val="1"/>
    <w:semiHidden/>
    <w:qFormat/>
    <w:uiPriority w:val="0"/>
    <w:pPr>
      <w:tabs>
        <w:tab w:val="right" w:leader="dot" w:pos="9241"/>
      </w:tabs>
      <w:ind w:firstLine="403" w:firstLineChars="400"/>
      <w:jc w:val="left"/>
    </w:pPr>
    <w:rPr>
      <w:rFonts w:ascii="宋体"/>
      <w:szCs w:val="21"/>
    </w:rPr>
  </w:style>
  <w:style w:type="paragraph" w:styleId="28">
    <w:name w:val="index 7"/>
    <w:basedOn w:val="1"/>
    <w:next w:val="1"/>
    <w:qFormat/>
    <w:uiPriority w:val="0"/>
    <w:pPr>
      <w:ind w:left="1470" w:hanging="210"/>
      <w:jc w:val="left"/>
    </w:pPr>
    <w:rPr>
      <w:rFonts w:ascii="Calibri" w:hAnsi="Calibri"/>
      <w:sz w:val="20"/>
      <w:szCs w:val="20"/>
    </w:rPr>
  </w:style>
  <w:style w:type="paragraph" w:styleId="29">
    <w:name w:val="index 9"/>
    <w:basedOn w:val="1"/>
    <w:next w:val="1"/>
    <w:qFormat/>
    <w:uiPriority w:val="0"/>
    <w:pPr>
      <w:ind w:left="1890" w:hanging="210"/>
      <w:jc w:val="left"/>
    </w:pPr>
    <w:rPr>
      <w:rFonts w:ascii="Calibri" w:hAnsi="Calibri"/>
      <w:sz w:val="20"/>
      <w:szCs w:val="20"/>
    </w:rPr>
  </w:style>
  <w:style w:type="paragraph" w:styleId="30">
    <w:name w:val="toc 2"/>
    <w:basedOn w:val="1"/>
    <w:next w:val="1"/>
    <w:semiHidden/>
    <w:qFormat/>
    <w:uiPriority w:val="39"/>
    <w:pPr>
      <w:tabs>
        <w:tab w:val="right" w:leader="dot" w:pos="9241"/>
      </w:tabs>
    </w:pPr>
    <w:rPr>
      <w:rFonts w:ascii="宋体"/>
      <w:szCs w:val="21"/>
    </w:rPr>
  </w:style>
  <w:style w:type="paragraph" w:styleId="31">
    <w:name w:val="toc 9"/>
    <w:basedOn w:val="1"/>
    <w:next w:val="1"/>
    <w:semiHidden/>
    <w:qFormat/>
    <w:uiPriority w:val="0"/>
    <w:pPr>
      <w:ind w:left="1470"/>
      <w:jc w:val="left"/>
    </w:pPr>
    <w:rPr>
      <w:sz w:val="20"/>
      <w:szCs w:val="20"/>
    </w:rPr>
  </w:style>
  <w:style w:type="paragraph" w:styleId="32">
    <w:name w:val="Normal (Web)"/>
    <w:basedOn w:val="1"/>
    <w:semiHidden/>
    <w:unhideWhenUsed/>
    <w:qFormat/>
    <w:uiPriority w:val="0"/>
    <w:rPr>
      <w:sz w:val="24"/>
    </w:rPr>
  </w:style>
  <w:style w:type="paragraph" w:styleId="33">
    <w:name w:val="index 2"/>
    <w:basedOn w:val="1"/>
    <w:next w:val="1"/>
    <w:qFormat/>
    <w:uiPriority w:val="0"/>
    <w:pPr>
      <w:ind w:left="420" w:hanging="210"/>
      <w:jc w:val="left"/>
    </w:pPr>
    <w:rPr>
      <w:rFonts w:ascii="Calibri" w:hAnsi="Calibri"/>
      <w:sz w:val="20"/>
      <w:szCs w:val="20"/>
    </w:rPr>
  </w:style>
  <w:style w:type="table" w:styleId="35">
    <w:name w:val="Table Grid"/>
    <w:basedOn w:val="3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7">
    <w:name w:val="endnote reference"/>
    <w:semiHidden/>
    <w:qFormat/>
    <w:uiPriority w:val="0"/>
    <w:rPr>
      <w:vertAlign w:val="superscript"/>
    </w:rPr>
  </w:style>
  <w:style w:type="character" w:styleId="38">
    <w:name w:val="page number"/>
    <w:qFormat/>
    <w:uiPriority w:val="0"/>
    <w:rPr>
      <w:rFonts w:ascii="Times New Roman" w:hAnsi="Times New Roman" w:eastAsia="宋体"/>
      <w:sz w:val="18"/>
    </w:rPr>
  </w:style>
  <w:style w:type="character" w:styleId="39">
    <w:name w:val="FollowedHyperlink"/>
    <w:qFormat/>
    <w:uiPriority w:val="99"/>
    <w:rPr>
      <w:color w:val="800080"/>
      <w:u w:val="single"/>
    </w:rPr>
  </w:style>
  <w:style w:type="character" w:styleId="40">
    <w:name w:val="Hyperlink"/>
    <w:qFormat/>
    <w:uiPriority w:val="99"/>
    <w:rPr>
      <w:color w:val="0000FF"/>
      <w:spacing w:val="0"/>
      <w:w w:val="100"/>
      <w:szCs w:val="21"/>
      <w:u w:val="single"/>
    </w:rPr>
  </w:style>
  <w:style w:type="character" w:styleId="41">
    <w:name w:val="footnote reference"/>
    <w:semiHidden/>
    <w:qFormat/>
    <w:uiPriority w:val="0"/>
    <w:rPr>
      <w:vertAlign w:val="superscript"/>
    </w:rPr>
  </w:style>
  <w:style w:type="paragraph" w:customStyle="1" w:styleId="42">
    <w:name w:val="一级条标题"/>
    <w:next w:val="25"/>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43">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44">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45">
    <w:name w:val="章标题"/>
    <w:next w:val="25"/>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46">
    <w:name w:val="二级条标题"/>
    <w:basedOn w:val="42"/>
    <w:next w:val="25"/>
    <w:qFormat/>
    <w:uiPriority w:val="0"/>
    <w:pPr>
      <w:numPr>
        <w:ilvl w:val="2"/>
      </w:numPr>
      <w:spacing w:before="50" w:after="50"/>
      <w:outlineLvl w:val="3"/>
    </w:pPr>
  </w:style>
  <w:style w:type="paragraph" w:customStyle="1" w:styleId="47">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48">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49">
    <w:name w:val="列项●（二级）"/>
    <w:qFormat/>
    <w:uiPriority w:val="0"/>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50">
    <w:name w:val="目次、标准名称标题"/>
    <w:basedOn w:val="1"/>
    <w:next w:val="25"/>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1">
    <w:name w:val="三级条标题"/>
    <w:basedOn w:val="46"/>
    <w:next w:val="25"/>
    <w:qFormat/>
    <w:uiPriority w:val="0"/>
    <w:pPr>
      <w:numPr>
        <w:ilvl w:val="3"/>
      </w:numPr>
      <w:outlineLvl w:val="4"/>
    </w:pPr>
  </w:style>
  <w:style w:type="paragraph" w:customStyle="1" w:styleId="52">
    <w:name w:val="示例"/>
    <w:next w:val="53"/>
    <w:qFormat/>
    <w:uiPriority w:val="0"/>
    <w:pPr>
      <w:widowControl w:val="0"/>
      <w:numPr>
        <w:ilvl w:val="0"/>
        <w:numId w:val="4"/>
      </w:numPr>
      <w:jc w:val="both"/>
    </w:pPr>
    <w:rPr>
      <w:rFonts w:ascii="宋体" w:hAnsi="Times New Roman" w:eastAsia="宋体" w:cs="Times New Roman"/>
      <w:sz w:val="18"/>
      <w:szCs w:val="18"/>
      <w:lang w:val="en-US" w:eastAsia="zh-CN" w:bidi="ar-SA"/>
    </w:rPr>
  </w:style>
  <w:style w:type="paragraph" w:customStyle="1" w:styleId="53">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54">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55">
    <w:name w:val="四级条标题"/>
    <w:basedOn w:val="51"/>
    <w:next w:val="25"/>
    <w:qFormat/>
    <w:uiPriority w:val="0"/>
    <w:pPr>
      <w:numPr>
        <w:ilvl w:val="4"/>
      </w:numPr>
      <w:ind w:left="0"/>
      <w:outlineLvl w:val="5"/>
    </w:pPr>
  </w:style>
  <w:style w:type="paragraph" w:customStyle="1" w:styleId="56">
    <w:name w:val="五级条标题"/>
    <w:basedOn w:val="55"/>
    <w:next w:val="25"/>
    <w:qFormat/>
    <w:uiPriority w:val="0"/>
    <w:pPr>
      <w:numPr>
        <w:ilvl w:val="5"/>
      </w:numPr>
      <w:outlineLvl w:val="6"/>
    </w:pPr>
  </w:style>
  <w:style w:type="paragraph" w:customStyle="1" w:styleId="57">
    <w:name w:val="注："/>
    <w:next w:val="25"/>
    <w:qFormat/>
    <w:uiPriority w:val="0"/>
    <w:pPr>
      <w:widowControl w:val="0"/>
      <w:numPr>
        <w:ilvl w:val="0"/>
        <w:numId w:val="6"/>
      </w:numPr>
      <w:autoSpaceDE w:val="0"/>
      <w:autoSpaceDN w:val="0"/>
      <w:jc w:val="both"/>
    </w:pPr>
    <w:rPr>
      <w:rFonts w:ascii="宋体" w:hAnsi="Times New Roman" w:eastAsia="宋体" w:cs="Times New Roman"/>
      <w:sz w:val="18"/>
      <w:szCs w:val="18"/>
      <w:lang w:val="en-US" w:eastAsia="zh-CN" w:bidi="ar-SA"/>
    </w:rPr>
  </w:style>
  <w:style w:type="paragraph" w:customStyle="1" w:styleId="58">
    <w:name w:val="注×："/>
    <w:qFormat/>
    <w:uiPriority w:val="0"/>
    <w:pPr>
      <w:widowControl w:val="0"/>
      <w:numPr>
        <w:ilvl w:val="0"/>
        <w:numId w:val="7"/>
      </w:numPr>
      <w:tabs>
        <w:tab w:val="left" w:pos="0"/>
      </w:tabs>
      <w:autoSpaceDE w:val="0"/>
      <w:autoSpaceDN w:val="0"/>
      <w:ind w:left="0" w:firstLine="0"/>
      <w:jc w:val="both"/>
    </w:pPr>
    <w:rPr>
      <w:rFonts w:ascii="宋体" w:hAnsi="Times New Roman" w:eastAsia="宋体" w:cs="Times New Roman"/>
      <w:sz w:val="18"/>
      <w:szCs w:val="18"/>
      <w:lang w:val="en-US" w:eastAsia="zh-CN" w:bidi="ar-SA"/>
    </w:rPr>
  </w:style>
  <w:style w:type="paragraph" w:customStyle="1" w:styleId="59">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60">
    <w:name w:val="列项◆（三级）"/>
    <w:basedOn w:val="1"/>
    <w:qFormat/>
    <w:uiPriority w:val="0"/>
    <w:pPr>
      <w:numPr>
        <w:ilvl w:val="2"/>
        <w:numId w:val="3"/>
      </w:numPr>
    </w:pPr>
    <w:rPr>
      <w:rFonts w:ascii="宋体"/>
      <w:szCs w:val="21"/>
    </w:rPr>
  </w:style>
  <w:style w:type="paragraph" w:customStyle="1" w:styleId="61">
    <w:name w:val="编号列项（三级）"/>
    <w:qFormat/>
    <w:uiPriority w:val="0"/>
    <w:pPr>
      <w:numPr>
        <w:ilvl w:val="2"/>
        <w:numId w:val="5"/>
      </w:numPr>
    </w:pPr>
    <w:rPr>
      <w:rFonts w:ascii="宋体" w:hAnsi="Times New Roman" w:eastAsia="宋体" w:cs="Times New Roman"/>
      <w:sz w:val="21"/>
      <w:lang w:val="en-US" w:eastAsia="zh-CN" w:bidi="ar-SA"/>
    </w:rPr>
  </w:style>
  <w:style w:type="paragraph" w:customStyle="1" w:styleId="62">
    <w:name w:val="示例×："/>
    <w:basedOn w:val="45"/>
    <w:qFormat/>
    <w:uiPriority w:val="0"/>
    <w:pPr>
      <w:numPr>
        <w:numId w:val="8"/>
      </w:numPr>
      <w:spacing w:beforeLines="0" w:afterLines="0"/>
      <w:outlineLvl w:val="9"/>
    </w:pPr>
    <w:rPr>
      <w:rFonts w:ascii="宋体" w:eastAsia="宋体"/>
      <w:sz w:val="18"/>
      <w:szCs w:val="18"/>
    </w:rPr>
  </w:style>
  <w:style w:type="paragraph" w:customStyle="1" w:styleId="63">
    <w:name w:val="二级无"/>
    <w:basedOn w:val="46"/>
    <w:qFormat/>
    <w:uiPriority w:val="0"/>
    <w:pPr>
      <w:spacing w:beforeLines="0" w:afterLines="0"/>
    </w:pPr>
    <w:rPr>
      <w:rFonts w:ascii="宋体" w:eastAsia="宋体"/>
    </w:rPr>
  </w:style>
  <w:style w:type="paragraph" w:customStyle="1" w:styleId="64">
    <w:name w:val="注：（正文）"/>
    <w:basedOn w:val="57"/>
    <w:next w:val="25"/>
    <w:qFormat/>
    <w:uiPriority w:val="0"/>
  </w:style>
  <w:style w:type="paragraph" w:customStyle="1" w:styleId="65">
    <w:name w:val="注×：（正文）"/>
    <w:qFormat/>
    <w:uiPriority w:val="0"/>
    <w:pPr>
      <w:numPr>
        <w:ilvl w:val="0"/>
        <w:numId w:val="9"/>
      </w:numPr>
      <w:jc w:val="both"/>
    </w:pPr>
    <w:rPr>
      <w:rFonts w:ascii="宋体" w:hAnsi="Times New Roman" w:eastAsia="宋体" w:cs="Times New Roman"/>
      <w:sz w:val="18"/>
      <w:szCs w:val="18"/>
      <w:lang w:val="en-US" w:eastAsia="zh-CN" w:bidi="ar-SA"/>
    </w:rPr>
  </w:style>
  <w:style w:type="paragraph" w:customStyle="1" w:styleId="66">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7">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68">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69">
    <w:name w:val="标准书眉_偶数页"/>
    <w:basedOn w:val="44"/>
    <w:next w:val="1"/>
    <w:qFormat/>
    <w:uiPriority w:val="0"/>
    <w:pPr>
      <w:jc w:val="left"/>
    </w:pPr>
  </w:style>
  <w:style w:type="paragraph" w:customStyle="1" w:styleId="70">
    <w:name w:val="标准书眉一"/>
    <w:qFormat/>
    <w:uiPriority w:val="0"/>
    <w:pPr>
      <w:jc w:val="both"/>
    </w:pPr>
    <w:rPr>
      <w:rFonts w:ascii="Times New Roman" w:hAnsi="Times New Roman" w:eastAsia="宋体" w:cs="Times New Roman"/>
      <w:lang w:val="en-US" w:eastAsia="zh-CN" w:bidi="ar-SA"/>
    </w:rPr>
  </w:style>
  <w:style w:type="paragraph" w:customStyle="1" w:styleId="71">
    <w:name w:val="参考文献"/>
    <w:basedOn w:val="1"/>
    <w:next w:val="25"/>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2">
    <w:name w:val="参考文献、索引标题"/>
    <w:basedOn w:val="1"/>
    <w:next w:val="25"/>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3">
    <w:name w:val="发布部门"/>
    <w:next w:val="25"/>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74">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75">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76">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77">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8">
    <w:name w:val="封面标准英文名称"/>
    <w:basedOn w:val="77"/>
    <w:qFormat/>
    <w:uiPriority w:val="0"/>
    <w:pPr>
      <w:framePr w:wrap="around"/>
      <w:spacing w:before="370" w:line="400" w:lineRule="exact"/>
    </w:pPr>
    <w:rPr>
      <w:rFonts w:ascii="Times New Roman"/>
      <w:sz w:val="28"/>
      <w:szCs w:val="28"/>
    </w:rPr>
  </w:style>
  <w:style w:type="paragraph" w:customStyle="1" w:styleId="79">
    <w:name w:val="封面一致性程度标识"/>
    <w:basedOn w:val="78"/>
    <w:qFormat/>
    <w:uiPriority w:val="0"/>
    <w:pPr>
      <w:framePr w:wrap="around"/>
      <w:spacing w:before="440"/>
    </w:pPr>
    <w:rPr>
      <w:rFonts w:ascii="宋体" w:eastAsia="宋体"/>
    </w:rPr>
  </w:style>
  <w:style w:type="paragraph" w:customStyle="1" w:styleId="80">
    <w:name w:val="封面标准文稿类别"/>
    <w:basedOn w:val="79"/>
    <w:qFormat/>
    <w:uiPriority w:val="0"/>
    <w:pPr>
      <w:framePr w:wrap="around"/>
      <w:spacing w:after="160" w:line="240" w:lineRule="auto"/>
    </w:pPr>
    <w:rPr>
      <w:sz w:val="24"/>
    </w:rPr>
  </w:style>
  <w:style w:type="paragraph" w:customStyle="1" w:styleId="81">
    <w:name w:val="封面标准文稿编辑信息"/>
    <w:basedOn w:val="80"/>
    <w:qFormat/>
    <w:uiPriority w:val="0"/>
    <w:pPr>
      <w:framePr w:wrap="around"/>
      <w:spacing w:before="180" w:line="180" w:lineRule="exact"/>
    </w:pPr>
    <w:rPr>
      <w:sz w:val="21"/>
    </w:rPr>
  </w:style>
  <w:style w:type="paragraph" w:customStyle="1" w:styleId="82">
    <w:name w:val="封面正文"/>
    <w:qFormat/>
    <w:uiPriority w:val="0"/>
    <w:pPr>
      <w:jc w:val="both"/>
    </w:pPr>
    <w:rPr>
      <w:rFonts w:ascii="Times New Roman" w:hAnsi="Times New Roman" w:eastAsia="宋体" w:cs="Times New Roman"/>
      <w:lang w:val="en-US" w:eastAsia="zh-CN" w:bidi="ar-SA"/>
    </w:rPr>
  </w:style>
  <w:style w:type="paragraph" w:customStyle="1" w:styleId="83">
    <w:name w:val="附录标识"/>
    <w:basedOn w:val="1"/>
    <w:next w:val="25"/>
    <w:qFormat/>
    <w:uiPriority w:val="0"/>
    <w:pPr>
      <w:keepNext/>
      <w:widowControl/>
      <w:numPr>
        <w:ilvl w:val="0"/>
        <w:numId w:val="10"/>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4">
    <w:name w:val="附录标题"/>
    <w:basedOn w:val="25"/>
    <w:next w:val="25"/>
    <w:qFormat/>
    <w:uiPriority w:val="0"/>
    <w:pPr>
      <w:ind w:firstLine="0" w:firstLineChars="0"/>
      <w:jc w:val="center"/>
    </w:pPr>
    <w:rPr>
      <w:rFonts w:ascii="黑体" w:eastAsia="黑体"/>
    </w:rPr>
  </w:style>
  <w:style w:type="paragraph" w:customStyle="1" w:styleId="85">
    <w:name w:val="附录表标号"/>
    <w:basedOn w:val="1"/>
    <w:next w:val="25"/>
    <w:qFormat/>
    <w:uiPriority w:val="0"/>
    <w:pPr>
      <w:numPr>
        <w:ilvl w:val="0"/>
        <w:numId w:val="11"/>
      </w:numPr>
      <w:tabs>
        <w:tab w:val="clear" w:pos="0"/>
      </w:tabs>
      <w:spacing w:line="14" w:lineRule="exact"/>
      <w:ind w:left="811" w:hanging="448"/>
      <w:jc w:val="center"/>
      <w:outlineLvl w:val="0"/>
    </w:pPr>
    <w:rPr>
      <w:color w:val="FFFFFF"/>
    </w:rPr>
  </w:style>
  <w:style w:type="paragraph" w:customStyle="1" w:styleId="86">
    <w:name w:val="附录表标题"/>
    <w:basedOn w:val="1"/>
    <w:next w:val="25"/>
    <w:qFormat/>
    <w:uiPriority w:val="0"/>
    <w:pPr>
      <w:numPr>
        <w:ilvl w:val="1"/>
        <w:numId w:val="11"/>
      </w:numPr>
      <w:tabs>
        <w:tab w:val="left" w:pos="180"/>
      </w:tabs>
      <w:spacing w:beforeLines="50" w:afterLines="50"/>
      <w:ind w:left="0" w:firstLine="0"/>
      <w:jc w:val="center"/>
    </w:pPr>
    <w:rPr>
      <w:rFonts w:ascii="黑体" w:eastAsia="黑体"/>
      <w:szCs w:val="21"/>
    </w:rPr>
  </w:style>
  <w:style w:type="paragraph" w:customStyle="1" w:styleId="87">
    <w:name w:val="附录二级条标题"/>
    <w:basedOn w:val="1"/>
    <w:next w:val="25"/>
    <w:qFormat/>
    <w:uiPriority w:val="0"/>
    <w:pPr>
      <w:widowControl/>
      <w:numPr>
        <w:ilvl w:val="3"/>
        <w:numId w:val="10"/>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88">
    <w:name w:val="附录二级无"/>
    <w:basedOn w:val="87"/>
    <w:qFormat/>
    <w:uiPriority w:val="0"/>
    <w:pPr>
      <w:tabs>
        <w:tab w:val="clear" w:pos="360"/>
      </w:tabs>
      <w:spacing w:beforeLines="0" w:afterLines="0"/>
    </w:pPr>
    <w:rPr>
      <w:rFonts w:ascii="宋体" w:eastAsia="宋体"/>
      <w:szCs w:val="21"/>
    </w:rPr>
  </w:style>
  <w:style w:type="paragraph" w:customStyle="1" w:styleId="89">
    <w:name w:val="附录公式"/>
    <w:basedOn w:val="25"/>
    <w:next w:val="25"/>
    <w:link w:val="136"/>
    <w:qFormat/>
    <w:uiPriority w:val="0"/>
  </w:style>
  <w:style w:type="paragraph" w:customStyle="1" w:styleId="90">
    <w:name w:val="附录公式编号制表符"/>
    <w:basedOn w:val="1"/>
    <w:next w:val="25"/>
    <w:qFormat/>
    <w:uiPriority w:val="0"/>
    <w:pPr>
      <w:widowControl/>
      <w:tabs>
        <w:tab w:val="center" w:pos="4201"/>
        <w:tab w:val="right" w:leader="dot" w:pos="9298"/>
      </w:tabs>
      <w:autoSpaceDE w:val="0"/>
      <w:autoSpaceDN w:val="0"/>
    </w:pPr>
    <w:rPr>
      <w:rFonts w:ascii="宋体"/>
      <w:kern w:val="0"/>
      <w:szCs w:val="20"/>
    </w:rPr>
  </w:style>
  <w:style w:type="paragraph" w:customStyle="1" w:styleId="91">
    <w:name w:val="附录三级条标题"/>
    <w:basedOn w:val="87"/>
    <w:next w:val="25"/>
    <w:qFormat/>
    <w:uiPriority w:val="0"/>
    <w:pPr>
      <w:numPr>
        <w:ilvl w:val="4"/>
      </w:numPr>
      <w:outlineLvl w:val="4"/>
    </w:pPr>
  </w:style>
  <w:style w:type="paragraph" w:customStyle="1" w:styleId="92">
    <w:name w:val="附录三级无"/>
    <w:basedOn w:val="91"/>
    <w:qFormat/>
    <w:uiPriority w:val="0"/>
    <w:pPr>
      <w:tabs>
        <w:tab w:val="clear" w:pos="360"/>
      </w:tabs>
      <w:spacing w:beforeLines="0" w:afterLines="0"/>
    </w:pPr>
    <w:rPr>
      <w:rFonts w:ascii="宋体" w:eastAsia="宋体"/>
      <w:szCs w:val="21"/>
    </w:rPr>
  </w:style>
  <w:style w:type="paragraph" w:customStyle="1" w:styleId="93">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94">
    <w:name w:val="附录四级条标题"/>
    <w:basedOn w:val="91"/>
    <w:next w:val="25"/>
    <w:qFormat/>
    <w:uiPriority w:val="0"/>
    <w:pPr>
      <w:numPr>
        <w:ilvl w:val="5"/>
      </w:numPr>
      <w:outlineLvl w:val="5"/>
    </w:pPr>
  </w:style>
  <w:style w:type="paragraph" w:customStyle="1" w:styleId="95">
    <w:name w:val="附录四级无"/>
    <w:basedOn w:val="94"/>
    <w:qFormat/>
    <w:uiPriority w:val="0"/>
    <w:pPr>
      <w:tabs>
        <w:tab w:val="clear" w:pos="360"/>
      </w:tabs>
      <w:spacing w:beforeLines="0" w:afterLines="0"/>
    </w:pPr>
    <w:rPr>
      <w:rFonts w:ascii="宋体" w:eastAsia="宋体"/>
      <w:szCs w:val="21"/>
    </w:rPr>
  </w:style>
  <w:style w:type="paragraph" w:customStyle="1" w:styleId="96">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97">
    <w:name w:val="附录图标题"/>
    <w:basedOn w:val="1"/>
    <w:next w:val="25"/>
    <w:qFormat/>
    <w:uiPriority w:val="0"/>
    <w:pPr>
      <w:numPr>
        <w:ilvl w:val="1"/>
        <w:numId w:val="13"/>
      </w:numPr>
      <w:tabs>
        <w:tab w:val="left" w:pos="363"/>
      </w:tabs>
      <w:spacing w:beforeLines="50" w:afterLines="50"/>
      <w:ind w:left="0" w:firstLine="0"/>
      <w:jc w:val="center"/>
    </w:pPr>
    <w:rPr>
      <w:rFonts w:ascii="黑体" w:eastAsia="黑体"/>
      <w:szCs w:val="21"/>
    </w:rPr>
  </w:style>
  <w:style w:type="paragraph" w:customStyle="1" w:styleId="98">
    <w:name w:val="附录五级条标题"/>
    <w:basedOn w:val="94"/>
    <w:next w:val="25"/>
    <w:qFormat/>
    <w:uiPriority w:val="0"/>
    <w:pPr>
      <w:numPr>
        <w:ilvl w:val="6"/>
      </w:numPr>
      <w:outlineLvl w:val="6"/>
    </w:pPr>
  </w:style>
  <w:style w:type="paragraph" w:customStyle="1" w:styleId="99">
    <w:name w:val="附录五级无"/>
    <w:basedOn w:val="98"/>
    <w:qFormat/>
    <w:uiPriority w:val="0"/>
    <w:pPr>
      <w:tabs>
        <w:tab w:val="clear" w:pos="360"/>
      </w:tabs>
      <w:spacing w:beforeLines="0" w:afterLines="0"/>
    </w:pPr>
    <w:rPr>
      <w:rFonts w:ascii="宋体" w:eastAsia="宋体"/>
      <w:szCs w:val="21"/>
    </w:rPr>
  </w:style>
  <w:style w:type="paragraph" w:customStyle="1" w:styleId="100">
    <w:name w:val="附录章标题"/>
    <w:next w:val="25"/>
    <w:qFormat/>
    <w:uiPriority w:val="0"/>
    <w:pPr>
      <w:numPr>
        <w:ilvl w:val="1"/>
        <w:numId w:val="10"/>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01">
    <w:name w:val="附录一级条标题"/>
    <w:basedOn w:val="100"/>
    <w:next w:val="25"/>
    <w:qFormat/>
    <w:uiPriority w:val="0"/>
    <w:pPr>
      <w:numPr>
        <w:ilvl w:val="2"/>
      </w:numPr>
      <w:autoSpaceDN w:val="0"/>
      <w:spacing w:beforeLines="50" w:afterLines="50"/>
      <w:outlineLvl w:val="2"/>
    </w:pPr>
  </w:style>
  <w:style w:type="paragraph" w:customStyle="1" w:styleId="102">
    <w:name w:val="附录一级无"/>
    <w:basedOn w:val="101"/>
    <w:qFormat/>
    <w:uiPriority w:val="0"/>
    <w:pPr>
      <w:tabs>
        <w:tab w:val="clear" w:pos="360"/>
      </w:tabs>
      <w:spacing w:beforeLines="0" w:afterLines="0"/>
    </w:pPr>
    <w:rPr>
      <w:rFonts w:ascii="宋体" w:eastAsia="宋体"/>
      <w:szCs w:val="21"/>
    </w:rPr>
  </w:style>
  <w:style w:type="paragraph" w:customStyle="1" w:styleId="103">
    <w:name w:val="附录字母编号列项（一级）"/>
    <w:qFormat/>
    <w:uiPriority w:val="0"/>
    <w:pPr>
      <w:numPr>
        <w:ilvl w:val="0"/>
        <w:numId w:val="12"/>
      </w:numPr>
    </w:pPr>
    <w:rPr>
      <w:rFonts w:ascii="宋体" w:hAnsi="Times New Roman" w:eastAsia="宋体" w:cs="Times New Roman"/>
      <w:sz w:val="21"/>
      <w:lang w:val="en-US" w:eastAsia="zh-CN" w:bidi="ar-SA"/>
    </w:rPr>
  </w:style>
  <w:style w:type="paragraph" w:customStyle="1" w:styleId="104">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05">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06">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07">
    <w:name w:val="其他标准标志"/>
    <w:basedOn w:val="66"/>
    <w:qFormat/>
    <w:uiPriority w:val="0"/>
    <w:pPr>
      <w:framePr w:w="6101" w:wrap="around" w:vAnchor="page" w:hAnchor="page" w:x="4673" w:y="942"/>
    </w:pPr>
    <w:rPr>
      <w:w w:val="130"/>
    </w:rPr>
  </w:style>
  <w:style w:type="paragraph" w:customStyle="1" w:styleId="108">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09">
    <w:name w:val="其他发布部门"/>
    <w:basedOn w:val="73"/>
    <w:qFormat/>
    <w:uiPriority w:val="0"/>
    <w:pPr>
      <w:framePr w:wrap="around" w:y="15310"/>
      <w:spacing w:line="0" w:lineRule="atLeast"/>
    </w:pPr>
    <w:rPr>
      <w:rFonts w:ascii="黑体" w:eastAsia="黑体"/>
      <w:b w:val="0"/>
    </w:rPr>
  </w:style>
  <w:style w:type="paragraph" w:customStyle="1" w:styleId="110">
    <w:name w:val="前言、引言标题"/>
    <w:next w:val="25"/>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1">
    <w:name w:val="三级无"/>
    <w:basedOn w:val="51"/>
    <w:qFormat/>
    <w:uiPriority w:val="0"/>
    <w:pPr>
      <w:spacing w:beforeLines="0" w:afterLines="0"/>
    </w:pPr>
    <w:rPr>
      <w:rFonts w:ascii="宋体" w:eastAsia="宋体"/>
    </w:rPr>
  </w:style>
  <w:style w:type="paragraph" w:customStyle="1" w:styleId="112">
    <w:name w:val="实施日期"/>
    <w:basedOn w:val="74"/>
    <w:qFormat/>
    <w:uiPriority w:val="0"/>
    <w:pPr>
      <w:framePr w:wrap="around" w:vAnchor="page" w:hAnchor="text"/>
      <w:jc w:val="right"/>
    </w:pPr>
  </w:style>
  <w:style w:type="paragraph" w:customStyle="1" w:styleId="113">
    <w:name w:val="示例后文字"/>
    <w:basedOn w:val="25"/>
    <w:next w:val="25"/>
    <w:qFormat/>
    <w:uiPriority w:val="0"/>
    <w:pPr>
      <w:ind w:firstLine="360"/>
    </w:pPr>
    <w:rPr>
      <w:sz w:val="18"/>
    </w:rPr>
  </w:style>
  <w:style w:type="paragraph" w:customStyle="1" w:styleId="114">
    <w:name w:val="首示例"/>
    <w:next w:val="25"/>
    <w:link w:val="137"/>
    <w:qFormat/>
    <w:uiPriority w:val="0"/>
    <w:pPr>
      <w:numPr>
        <w:ilvl w:val="0"/>
        <w:numId w:val="14"/>
      </w:numPr>
      <w:tabs>
        <w:tab w:val="left" w:pos="360"/>
      </w:tabs>
      <w:ind w:firstLine="0"/>
    </w:pPr>
    <w:rPr>
      <w:rFonts w:ascii="宋体" w:hAnsi="宋体" w:eastAsia="宋体" w:cs="Times New Roman"/>
      <w:kern w:val="2"/>
      <w:sz w:val="18"/>
      <w:szCs w:val="18"/>
      <w:lang w:val="en-US" w:eastAsia="zh-CN" w:bidi="ar-SA"/>
    </w:rPr>
  </w:style>
  <w:style w:type="paragraph" w:customStyle="1" w:styleId="115">
    <w:name w:val="四级无"/>
    <w:basedOn w:val="55"/>
    <w:qFormat/>
    <w:uiPriority w:val="0"/>
    <w:pPr>
      <w:spacing w:beforeLines="0" w:afterLines="0"/>
    </w:pPr>
    <w:rPr>
      <w:rFonts w:ascii="宋体" w:eastAsia="宋体"/>
    </w:rPr>
  </w:style>
  <w:style w:type="paragraph" w:customStyle="1" w:styleId="116">
    <w:name w:val="条文脚注"/>
    <w:basedOn w:val="26"/>
    <w:qFormat/>
    <w:uiPriority w:val="0"/>
    <w:pPr>
      <w:numPr>
        <w:numId w:val="0"/>
      </w:numPr>
      <w:jc w:val="both"/>
    </w:pPr>
  </w:style>
  <w:style w:type="paragraph" w:customStyle="1" w:styleId="117">
    <w:name w:val="图标脚注说明"/>
    <w:basedOn w:val="25"/>
    <w:qFormat/>
    <w:uiPriority w:val="0"/>
    <w:pPr>
      <w:ind w:left="840" w:hanging="420" w:firstLineChars="0"/>
    </w:pPr>
    <w:rPr>
      <w:sz w:val="18"/>
      <w:szCs w:val="18"/>
    </w:rPr>
  </w:style>
  <w:style w:type="paragraph" w:customStyle="1" w:styleId="118">
    <w:name w:val="图表脚注说明"/>
    <w:basedOn w:val="1"/>
    <w:qFormat/>
    <w:uiPriority w:val="0"/>
    <w:pPr>
      <w:numPr>
        <w:ilvl w:val="0"/>
        <w:numId w:val="15"/>
      </w:numPr>
    </w:pPr>
    <w:rPr>
      <w:rFonts w:ascii="宋体"/>
      <w:sz w:val="18"/>
      <w:szCs w:val="18"/>
    </w:rPr>
  </w:style>
  <w:style w:type="paragraph" w:customStyle="1" w:styleId="119">
    <w:name w:val="图的脚注"/>
    <w:next w:val="25"/>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0">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21">
    <w:name w:val="五级无"/>
    <w:basedOn w:val="56"/>
    <w:qFormat/>
    <w:uiPriority w:val="0"/>
    <w:pPr>
      <w:spacing w:beforeLines="0" w:afterLines="0"/>
    </w:pPr>
    <w:rPr>
      <w:rFonts w:ascii="宋体" w:eastAsia="宋体"/>
    </w:rPr>
  </w:style>
  <w:style w:type="paragraph" w:customStyle="1" w:styleId="122">
    <w:name w:val="一级无"/>
    <w:basedOn w:val="42"/>
    <w:qFormat/>
    <w:uiPriority w:val="0"/>
    <w:pPr>
      <w:spacing w:beforeLines="0" w:afterLines="0"/>
    </w:pPr>
    <w:rPr>
      <w:rFonts w:ascii="宋体" w:eastAsia="宋体"/>
    </w:rPr>
  </w:style>
  <w:style w:type="paragraph" w:customStyle="1" w:styleId="123">
    <w:name w:val="正文表标题"/>
    <w:next w:val="25"/>
    <w:qFormat/>
    <w:uiPriority w:val="0"/>
    <w:pPr>
      <w:numPr>
        <w:ilvl w:val="0"/>
        <w:numId w:val="16"/>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4">
    <w:name w:val="正文公式编号制表符"/>
    <w:basedOn w:val="25"/>
    <w:next w:val="25"/>
    <w:qFormat/>
    <w:uiPriority w:val="0"/>
    <w:pPr>
      <w:ind w:firstLine="0" w:firstLineChars="0"/>
    </w:pPr>
  </w:style>
  <w:style w:type="paragraph" w:customStyle="1" w:styleId="125">
    <w:name w:val="正文图标题"/>
    <w:next w:val="25"/>
    <w:qFormat/>
    <w:uiPriority w:val="0"/>
    <w:pPr>
      <w:numPr>
        <w:ilvl w:val="0"/>
        <w:numId w:val="17"/>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6">
    <w:name w:val="终结线"/>
    <w:basedOn w:val="1"/>
    <w:qFormat/>
    <w:uiPriority w:val="0"/>
    <w:pPr>
      <w:framePr w:hSpace="181" w:vSpace="181" w:wrap="around" w:vAnchor="text" w:hAnchor="margin" w:xAlign="center" w:y="285"/>
    </w:pPr>
  </w:style>
  <w:style w:type="paragraph" w:customStyle="1" w:styleId="127">
    <w:name w:val="其他发布日期"/>
    <w:basedOn w:val="74"/>
    <w:qFormat/>
    <w:uiPriority w:val="0"/>
    <w:pPr>
      <w:framePr w:wrap="around" w:vAnchor="page" w:hAnchor="text" w:x="1419"/>
    </w:pPr>
  </w:style>
  <w:style w:type="paragraph" w:customStyle="1" w:styleId="128">
    <w:name w:val="其他实施日期"/>
    <w:basedOn w:val="112"/>
    <w:qFormat/>
    <w:uiPriority w:val="0"/>
    <w:pPr>
      <w:framePr w:wrap="around"/>
    </w:pPr>
  </w:style>
  <w:style w:type="paragraph" w:customStyle="1" w:styleId="129">
    <w:name w:val="封面标准名称2"/>
    <w:basedOn w:val="77"/>
    <w:qFormat/>
    <w:uiPriority w:val="0"/>
    <w:pPr>
      <w:framePr w:wrap="around" w:y="4469"/>
      <w:spacing w:beforeLines="630"/>
    </w:pPr>
  </w:style>
  <w:style w:type="paragraph" w:customStyle="1" w:styleId="130">
    <w:name w:val="封面标准英文名称2"/>
    <w:basedOn w:val="78"/>
    <w:qFormat/>
    <w:uiPriority w:val="0"/>
    <w:pPr>
      <w:framePr w:wrap="around" w:y="4469"/>
    </w:pPr>
  </w:style>
  <w:style w:type="paragraph" w:customStyle="1" w:styleId="131">
    <w:name w:val="封面一致性程度标识2"/>
    <w:basedOn w:val="79"/>
    <w:qFormat/>
    <w:uiPriority w:val="0"/>
    <w:pPr>
      <w:framePr w:wrap="around" w:y="4469"/>
    </w:pPr>
  </w:style>
  <w:style w:type="paragraph" w:customStyle="1" w:styleId="132">
    <w:name w:val="封面标准文稿类别2"/>
    <w:basedOn w:val="80"/>
    <w:qFormat/>
    <w:uiPriority w:val="0"/>
    <w:pPr>
      <w:framePr w:wrap="around" w:y="4469"/>
    </w:pPr>
  </w:style>
  <w:style w:type="paragraph" w:customStyle="1" w:styleId="133">
    <w:name w:val="封面标准文稿编辑信息2"/>
    <w:basedOn w:val="81"/>
    <w:qFormat/>
    <w:uiPriority w:val="0"/>
    <w:pPr>
      <w:framePr w:wrap="around" w:y="4469"/>
    </w:pPr>
  </w:style>
  <w:style w:type="character" w:customStyle="1" w:styleId="134">
    <w:name w:val="段 Char"/>
    <w:link w:val="25"/>
    <w:qFormat/>
    <w:uiPriority w:val="0"/>
    <w:rPr>
      <w:rFonts w:ascii="宋体"/>
      <w:sz w:val="21"/>
      <w:lang w:val="en-US" w:eastAsia="zh-CN" w:bidi="ar-SA"/>
    </w:rPr>
  </w:style>
  <w:style w:type="character" w:customStyle="1" w:styleId="135">
    <w:name w:val="发布"/>
    <w:qFormat/>
    <w:uiPriority w:val="0"/>
    <w:rPr>
      <w:rFonts w:ascii="黑体" w:eastAsia="黑体"/>
      <w:spacing w:val="85"/>
      <w:w w:val="100"/>
      <w:position w:val="3"/>
      <w:sz w:val="28"/>
      <w:szCs w:val="28"/>
    </w:rPr>
  </w:style>
  <w:style w:type="character" w:customStyle="1" w:styleId="136">
    <w:name w:val="附录公式 Char"/>
    <w:basedOn w:val="134"/>
    <w:link w:val="89"/>
    <w:qFormat/>
    <w:uiPriority w:val="0"/>
    <w:rPr>
      <w:rFonts w:ascii="宋体"/>
      <w:sz w:val="21"/>
      <w:lang w:val="en-US" w:eastAsia="zh-CN" w:bidi="ar-SA"/>
    </w:rPr>
  </w:style>
  <w:style w:type="character" w:customStyle="1" w:styleId="137">
    <w:name w:val="首示例 Char"/>
    <w:link w:val="114"/>
    <w:qFormat/>
    <w:uiPriority w:val="0"/>
    <w:rPr>
      <w:rFonts w:ascii="宋体" w:hAnsi="宋体"/>
      <w:kern w:val="2"/>
      <w:sz w:val="18"/>
      <w:szCs w:val="18"/>
    </w:rPr>
  </w:style>
  <w:style w:type="character" w:customStyle="1" w:styleId="138">
    <w:name w:val="批注框文本 字符"/>
    <w:link w:val="18"/>
    <w:qFormat/>
    <w:uiPriority w:val="99"/>
    <w:rPr>
      <w:kern w:val="2"/>
      <w:sz w:val="18"/>
      <w:szCs w:val="18"/>
    </w:rPr>
  </w:style>
  <w:style w:type="character" w:customStyle="1" w:styleId="139">
    <w:name w:val="未处理的提及1"/>
    <w:basedOn w:val="36"/>
    <w:semiHidden/>
    <w:unhideWhenUsed/>
    <w:qFormat/>
    <w:uiPriority w:val="99"/>
    <w:rPr>
      <w:color w:val="605E5C"/>
      <w:shd w:val="clear" w:color="auto" w:fill="E1DFDD"/>
    </w:rPr>
  </w:style>
  <w:style w:type="paragraph" w:customStyle="1" w:styleId="140">
    <w:name w:val="标题 11"/>
    <w:basedOn w:val="1"/>
    <w:next w:val="1"/>
    <w:qFormat/>
    <w:uiPriority w:val="9"/>
    <w:pPr>
      <w:keepNext/>
      <w:keepLines/>
      <w:spacing w:before="340" w:after="330" w:line="578" w:lineRule="auto"/>
      <w:outlineLvl w:val="0"/>
    </w:pPr>
    <w:rPr>
      <w:rFonts w:ascii="Calibri" w:hAnsi="Calibri"/>
      <w:b/>
      <w:bCs/>
      <w:kern w:val="44"/>
      <w:sz w:val="44"/>
      <w:szCs w:val="44"/>
    </w:rPr>
  </w:style>
  <w:style w:type="paragraph" w:customStyle="1" w:styleId="141">
    <w:name w:val="标题 21"/>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customStyle="1" w:styleId="142">
    <w:name w:val="标题 31"/>
    <w:basedOn w:val="1"/>
    <w:next w:val="1"/>
    <w:unhideWhenUsed/>
    <w:qFormat/>
    <w:uiPriority w:val="9"/>
    <w:pPr>
      <w:keepNext/>
      <w:keepLines/>
      <w:spacing w:before="260" w:after="260" w:line="416" w:lineRule="auto"/>
      <w:outlineLvl w:val="2"/>
    </w:pPr>
    <w:rPr>
      <w:rFonts w:ascii="Calibri" w:hAnsi="Calibri"/>
      <w:b/>
      <w:bCs/>
      <w:sz w:val="32"/>
      <w:szCs w:val="32"/>
    </w:rPr>
  </w:style>
  <w:style w:type="character" w:customStyle="1" w:styleId="143">
    <w:name w:val="标题 1 字符"/>
    <w:basedOn w:val="36"/>
    <w:link w:val="2"/>
    <w:qFormat/>
    <w:uiPriority w:val="9"/>
    <w:rPr>
      <w:rFonts w:ascii="Calibri" w:hAnsi="Calibri" w:eastAsia="宋体" w:cs="Times New Roman"/>
      <w:b/>
      <w:bCs/>
      <w:kern w:val="44"/>
      <w:sz w:val="44"/>
      <w:szCs w:val="44"/>
    </w:rPr>
  </w:style>
  <w:style w:type="character" w:customStyle="1" w:styleId="144">
    <w:name w:val="标题 2 字符"/>
    <w:basedOn w:val="36"/>
    <w:link w:val="3"/>
    <w:qFormat/>
    <w:uiPriority w:val="9"/>
    <w:rPr>
      <w:rFonts w:ascii="Cambria" w:hAnsi="Cambria" w:eastAsia="宋体" w:cs="Times New Roman"/>
      <w:b/>
      <w:bCs/>
      <w:kern w:val="2"/>
      <w:sz w:val="32"/>
      <w:szCs w:val="32"/>
    </w:rPr>
  </w:style>
  <w:style w:type="character" w:customStyle="1" w:styleId="145">
    <w:name w:val="标题 3 字符"/>
    <w:basedOn w:val="36"/>
    <w:link w:val="4"/>
    <w:qFormat/>
    <w:uiPriority w:val="9"/>
    <w:rPr>
      <w:rFonts w:ascii="Calibri" w:hAnsi="Calibri" w:eastAsia="宋体" w:cs="Times New Roman"/>
      <w:b/>
      <w:bCs/>
      <w:kern w:val="2"/>
      <w:sz w:val="32"/>
      <w:szCs w:val="32"/>
    </w:rPr>
  </w:style>
  <w:style w:type="paragraph" w:customStyle="1" w:styleId="146">
    <w:name w:val="普通(网站)1"/>
    <w:basedOn w:val="1"/>
    <w:next w:val="32"/>
    <w:semiHidden/>
    <w:unhideWhenUsed/>
    <w:qFormat/>
    <w:uiPriority w:val="99"/>
    <w:pPr>
      <w:spacing w:beforeAutospacing="1" w:afterAutospacing="1"/>
      <w:jc w:val="left"/>
    </w:pPr>
    <w:rPr>
      <w:rFonts w:ascii="Calibri" w:hAnsi="Calibri"/>
      <w:kern w:val="0"/>
      <w:sz w:val="24"/>
      <w:szCs w:val="22"/>
    </w:rPr>
  </w:style>
  <w:style w:type="paragraph" w:customStyle="1" w:styleId="147">
    <w:name w:val="WPSOffice手动目录 1"/>
    <w:qFormat/>
    <w:uiPriority w:val="0"/>
    <w:rPr>
      <w:rFonts w:ascii="Times New Roman" w:hAnsi="Times New Roman" w:eastAsia="宋体" w:cs="Times New Roman"/>
      <w:lang w:val="en-US" w:eastAsia="zh-CN" w:bidi="ar-SA"/>
    </w:rPr>
  </w:style>
  <w:style w:type="paragraph" w:customStyle="1" w:styleId="14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9">
    <w:name w:val="页眉 字符"/>
    <w:basedOn w:val="36"/>
    <w:link w:val="20"/>
    <w:qFormat/>
    <w:uiPriority w:val="99"/>
    <w:rPr>
      <w:kern w:val="2"/>
      <w:sz w:val="18"/>
      <w:szCs w:val="18"/>
    </w:rPr>
  </w:style>
  <w:style w:type="character" w:customStyle="1" w:styleId="150">
    <w:name w:val="页脚 字符"/>
    <w:basedOn w:val="36"/>
    <w:link w:val="19"/>
    <w:qFormat/>
    <w:uiPriority w:val="99"/>
    <w:rPr>
      <w:kern w:val="2"/>
      <w:sz w:val="18"/>
      <w:szCs w:val="18"/>
    </w:rPr>
  </w:style>
  <w:style w:type="character" w:customStyle="1" w:styleId="151">
    <w:name w:val="标题 1 字符1"/>
    <w:basedOn w:val="36"/>
    <w:qFormat/>
    <w:uiPriority w:val="0"/>
    <w:rPr>
      <w:b/>
      <w:bCs/>
      <w:kern w:val="44"/>
      <w:sz w:val="44"/>
      <w:szCs w:val="44"/>
    </w:rPr>
  </w:style>
  <w:style w:type="character" w:customStyle="1" w:styleId="152">
    <w:name w:val="标题 2 字符1"/>
    <w:basedOn w:val="36"/>
    <w:semiHidden/>
    <w:qFormat/>
    <w:uiPriority w:val="0"/>
    <w:rPr>
      <w:rFonts w:asciiTheme="majorHAnsi" w:hAnsiTheme="majorHAnsi" w:eastAsiaTheme="majorEastAsia" w:cstheme="majorBidi"/>
      <w:b/>
      <w:bCs/>
      <w:kern w:val="2"/>
      <w:sz w:val="32"/>
      <w:szCs w:val="32"/>
    </w:rPr>
  </w:style>
  <w:style w:type="character" w:customStyle="1" w:styleId="153">
    <w:name w:val="标题 3 字符1"/>
    <w:basedOn w:val="36"/>
    <w:semiHidden/>
    <w:uiPriority w:val="0"/>
    <w:rPr>
      <w:b/>
      <w:bCs/>
      <w:kern w:val="2"/>
      <w:sz w:val="32"/>
      <w:szCs w:val="32"/>
    </w:rPr>
  </w:style>
  <w:style w:type="character" w:customStyle="1" w:styleId="154">
    <w:name w:val="日期 字符"/>
    <w:basedOn w:val="36"/>
    <w:link w:val="16"/>
    <w:semiHidden/>
    <w:uiPriority w:val="0"/>
    <w:rPr>
      <w:kern w:val="2"/>
      <w:sz w:val="21"/>
      <w:szCs w:val="24"/>
    </w:rPr>
  </w:style>
  <w:style w:type="paragraph" w:customStyle="1" w:styleId="155">
    <w:name w:val="xl29"/>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6">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57">
    <w:name w:val="font5"/>
    <w:basedOn w:val="1"/>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58">
    <w:name w:val="font6"/>
    <w:basedOn w:val="1"/>
    <w:uiPriority w:val="0"/>
    <w:pPr>
      <w:widowControl/>
      <w:spacing w:before="100" w:beforeAutospacing="1" w:after="100" w:afterAutospacing="1"/>
      <w:jc w:val="left"/>
    </w:pPr>
    <w:rPr>
      <w:rFonts w:ascii="宋体" w:hAnsi="宋体" w:cs="宋体"/>
      <w:color w:val="000000"/>
      <w:kern w:val="0"/>
      <w:sz w:val="16"/>
      <w:szCs w:val="16"/>
    </w:rPr>
  </w:style>
  <w:style w:type="paragraph" w:customStyle="1" w:styleId="159">
    <w:name w:val="font7"/>
    <w:basedOn w:val="1"/>
    <w:uiPriority w:val="0"/>
    <w:pPr>
      <w:widowControl/>
      <w:spacing w:before="100" w:beforeAutospacing="1" w:after="100" w:afterAutospacing="1"/>
      <w:jc w:val="left"/>
    </w:pPr>
    <w:rPr>
      <w:rFonts w:ascii="宋体" w:hAnsi="宋体" w:cs="宋体"/>
      <w:color w:val="000000"/>
      <w:kern w:val="0"/>
      <w:sz w:val="16"/>
      <w:szCs w:val="16"/>
    </w:rPr>
  </w:style>
  <w:style w:type="paragraph" w:customStyle="1" w:styleId="160">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61">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6"/>
      <w:szCs w:val="16"/>
    </w:rPr>
  </w:style>
  <w:style w:type="paragraph" w:customStyle="1" w:styleId="162">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63">
    <w:name w:val="xl68"/>
    <w:basedOn w:val="1"/>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64">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6"/>
      <w:szCs w:val="16"/>
    </w:rPr>
  </w:style>
  <w:style w:type="paragraph" w:customStyle="1" w:styleId="165">
    <w:name w:val="xl70"/>
    <w:basedOn w:val="1"/>
    <w:uiPriority w:val="0"/>
    <w:pPr>
      <w:widowControl/>
      <w:spacing w:before="100" w:beforeAutospacing="1" w:after="100" w:afterAutospacing="1"/>
      <w:jc w:val="left"/>
    </w:pPr>
    <w:rPr>
      <w:rFonts w:ascii="宋体" w:hAnsi="宋体" w:cs="宋体"/>
      <w:kern w:val="0"/>
      <w:sz w:val="24"/>
    </w:rPr>
  </w:style>
  <w:style w:type="paragraph" w:customStyle="1" w:styleId="166">
    <w:name w:val="xl71"/>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67">
    <w:name w:val="xl72"/>
    <w:basedOn w:val="1"/>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68">
    <w:name w:val="xl7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69">
    <w:name w:val="xl74"/>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0">
    <w:name w:val="xl75"/>
    <w:basedOn w:val="1"/>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1">
    <w:name w:val="xl76"/>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2">
    <w:name w:val="xl77"/>
    <w:basedOn w:val="1"/>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3">
    <w:name w:val="xl78"/>
    <w:basedOn w:val="1"/>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4">
    <w:name w:val="xl79"/>
    <w:basedOn w:val="1"/>
    <w:uiPriority w:val="0"/>
    <w:pPr>
      <w:widowControl/>
      <w:pBdr>
        <w:lef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5">
    <w:name w:val="xl80"/>
    <w:basedOn w:val="1"/>
    <w:uiPriority w:val="0"/>
    <w:pPr>
      <w:widowControl/>
      <w:pBdr>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6">
    <w:name w:val="xl81"/>
    <w:basedOn w:val="1"/>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7">
    <w:name w:val="xl82"/>
    <w:basedOn w:val="1"/>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8">
    <w:name w:val="xl83"/>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9">
    <w:name w:val="xl84"/>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80">
    <w:name w:val="xl8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81">
    <w:name w:val="xl86"/>
    <w:basedOn w:val="1"/>
    <w:uiPriority w:val="0"/>
    <w:pPr>
      <w:widowControl/>
      <w:pBdr>
        <w:left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82">
    <w:name w:val="xl87"/>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83">
    <w:name w:val="Revision"/>
    <w:hidden/>
    <w:semiHidden/>
    <w:uiPriority w:val="99"/>
    <w:rPr>
      <w:rFonts w:ascii="Times New Roman" w:hAnsi="Times New Roman" w:eastAsia="宋体" w:cs="Times New Roman"/>
      <w:kern w:val="2"/>
      <w:sz w:val="21"/>
      <w:szCs w:val="24"/>
      <w:lang w:val="en-US" w:eastAsia="zh-CN" w:bidi="ar-SA"/>
    </w:rPr>
  </w:style>
  <w:style w:type="paragraph" w:styleId="184">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emf"/><Relationship Id="rId12" Type="http://schemas.openxmlformats.org/officeDocument/2006/relationships/image" Target="media/image5.emf"/><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86137\Desktop\&#30005;&#21160;&#24213;&#30424;&#36710;&#25216;&#26415;&#35268;&#33539;20210204.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电动底盘车技术规范20210204</Template>
  <Pages>33</Pages>
  <Words>4143</Words>
  <Characters>5544</Characters>
  <Lines>246</Lines>
  <Paragraphs>69</Paragraphs>
  <TotalTime>2</TotalTime>
  <ScaleCrop>false</ScaleCrop>
  <LinksUpToDate>false</LinksUpToDate>
  <CharactersWithSpaces>5840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2022-06-08T13:35:00Z</dcterms:created>
  <dcterms:modified xsi:type="dcterms:W3CDTF">2024-11-28T04:19:53Z</dcterms:modified>
  <dc:title>标准名称</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9E99ECE0A8BC4347B38DF41F631853B4</vt:lpwstr>
  </property>
</Properties>
</file>