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6" w:line="219" w:lineRule="auto"/>
        <w:ind w:firstLine="69"/>
        <w:jc w:val="center"/>
        <w:rPr>
          <w:rFonts w:hint="eastAsia" w:ascii="宋体" w:hAnsi="宋体" w:eastAsia="宋体" w:cs="宋体"/>
          <w:b/>
          <w:bCs/>
          <w:spacing w:val="2"/>
          <w:sz w:val="52"/>
          <w:szCs w:val="52"/>
          <w:lang w:val="en-US" w:eastAsia="zh-CN"/>
        </w:rPr>
      </w:pPr>
      <w:r>
        <w:rPr>
          <w:rFonts w:hint="eastAsia" w:ascii="宋体" w:hAnsi="宋体" w:eastAsia="宋体" w:cs="宋体"/>
          <w:b/>
          <w:bCs/>
          <w:spacing w:val="2"/>
          <w:sz w:val="52"/>
          <w:szCs w:val="52"/>
          <w:lang w:val="en-US" w:eastAsia="zh-CN"/>
        </w:rPr>
        <w:t>广东省电机工程学会团体标准</w:t>
      </w: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ind w:firstLine="69"/>
        <w:jc w:val="center"/>
        <w:rPr>
          <w:rFonts w:hint="eastAsia" w:ascii="宋体" w:hAnsi="宋体" w:eastAsia="宋体" w:cs="宋体"/>
          <w:b/>
          <w:bCs/>
          <w:spacing w:val="2"/>
          <w:sz w:val="48"/>
          <w:szCs w:val="48"/>
          <w:lang w:val="en-US" w:eastAsia="zh-CN"/>
        </w:rPr>
      </w:pPr>
      <w:r>
        <w:rPr>
          <w:rFonts w:hint="eastAsia" w:ascii="宋体" w:hAnsi="宋体" w:eastAsia="宋体" w:cs="宋体"/>
          <w:b/>
          <w:bCs/>
          <w:spacing w:val="2"/>
          <w:sz w:val="48"/>
          <w:szCs w:val="48"/>
          <w:lang w:val="en-US" w:eastAsia="zh-CN"/>
        </w:rPr>
        <w:t>《智慧空气开关》</w:t>
      </w: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ind w:firstLine="69"/>
        <w:jc w:val="center"/>
        <w:rPr>
          <w:rFonts w:hint="eastAsia" w:ascii="宋体" w:hAnsi="宋体" w:eastAsia="宋体" w:cs="宋体"/>
          <w:b/>
          <w:bCs/>
          <w:spacing w:val="2"/>
          <w:sz w:val="72"/>
          <w:szCs w:val="72"/>
          <w:lang w:val="en-US" w:eastAsia="zh-CN"/>
        </w:rPr>
      </w:pPr>
      <w:r>
        <w:rPr>
          <w:rFonts w:hint="eastAsia" w:ascii="宋体" w:hAnsi="宋体" w:eastAsia="宋体" w:cs="宋体"/>
          <w:b/>
          <w:bCs/>
          <w:spacing w:val="2"/>
          <w:sz w:val="72"/>
          <w:szCs w:val="72"/>
          <w:lang w:val="en-US" w:eastAsia="zh-CN"/>
        </w:rPr>
        <w:t>编制说明</w:t>
      </w:r>
    </w:p>
    <w:p>
      <w:pPr>
        <w:spacing w:before="46" w:line="219" w:lineRule="auto"/>
        <w:ind w:firstLine="69"/>
        <w:jc w:val="center"/>
        <w:rPr>
          <w:rFonts w:hint="eastAsia" w:ascii="宋体" w:hAnsi="宋体" w:eastAsia="宋体" w:cs="宋体"/>
          <w:b/>
          <w:bCs/>
          <w:spacing w:val="2"/>
          <w:sz w:val="72"/>
          <w:szCs w:val="72"/>
          <w:lang w:val="en-US" w:eastAsia="zh-CN"/>
        </w:rPr>
      </w:pPr>
    </w:p>
    <w:p>
      <w:pPr>
        <w:spacing w:before="46" w:line="219" w:lineRule="auto"/>
        <w:ind w:firstLine="69"/>
        <w:jc w:val="center"/>
        <w:rPr>
          <w:rFonts w:hint="eastAsia" w:ascii="宋体" w:hAnsi="宋体" w:eastAsia="宋体" w:cs="宋体"/>
          <w:b/>
          <w:bCs/>
          <w:spacing w:val="2"/>
          <w:sz w:val="72"/>
          <w:szCs w:val="72"/>
          <w:lang w:val="en-US" w:eastAsia="zh-CN"/>
        </w:rPr>
      </w:pPr>
    </w:p>
    <w:p>
      <w:pPr>
        <w:spacing w:before="46" w:line="219" w:lineRule="auto"/>
        <w:ind w:firstLine="69"/>
        <w:jc w:val="center"/>
        <w:rPr>
          <w:rFonts w:hint="eastAsia" w:ascii="宋体" w:hAnsi="宋体" w:eastAsia="宋体" w:cs="宋体"/>
          <w:b/>
          <w:bCs/>
          <w:spacing w:val="2"/>
          <w:sz w:val="72"/>
          <w:szCs w:val="72"/>
          <w:lang w:val="en-US" w:eastAsia="zh-CN"/>
        </w:rPr>
      </w:pPr>
    </w:p>
    <w:p>
      <w:pPr>
        <w:spacing w:before="46" w:line="219" w:lineRule="auto"/>
        <w:ind w:firstLine="69"/>
        <w:jc w:val="center"/>
        <w:rPr>
          <w:rFonts w:hint="eastAsia" w:ascii="宋体" w:hAnsi="宋体" w:eastAsia="宋体" w:cs="宋体"/>
          <w:b/>
          <w:bCs/>
          <w:spacing w:val="2"/>
          <w:sz w:val="72"/>
          <w:szCs w:val="72"/>
          <w:lang w:val="en-US" w:eastAsia="zh-CN"/>
        </w:rPr>
      </w:pPr>
    </w:p>
    <w:p>
      <w:pPr>
        <w:spacing w:before="46" w:line="219" w:lineRule="auto"/>
        <w:ind w:firstLine="69"/>
        <w:jc w:val="center"/>
        <w:rPr>
          <w:rFonts w:hint="eastAsia" w:ascii="宋体" w:hAnsi="宋体" w:eastAsia="宋体" w:cs="宋体"/>
          <w:b/>
          <w:bCs/>
          <w:spacing w:val="2"/>
          <w:sz w:val="72"/>
          <w:szCs w:val="72"/>
          <w:lang w:val="en-US" w:eastAsia="zh-CN"/>
        </w:rPr>
      </w:pPr>
    </w:p>
    <w:p>
      <w:pPr>
        <w:spacing w:before="46" w:line="219" w:lineRule="auto"/>
        <w:ind w:firstLine="69"/>
        <w:jc w:val="center"/>
        <w:rPr>
          <w:rFonts w:hint="eastAsia" w:ascii="宋体" w:hAnsi="宋体" w:eastAsia="宋体" w:cs="宋体"/>
          <w:b/>
          <w:bCs/>
          <w:spacing w:val="2"/>
          <w:sz w:val="72"/>
          <w:szCs w:val="72"/>
          <w:lang w:val="en-US" w:eastAsia="zh-CN"/>
        </w:rPr>
      </w:pPr>
    </w:p>
    <w:p>
      <w:pPr>
        <w:spacing w:before="46" w:line="219" w:lineRule="auto"/>
        <w:ind w:firstLine="69"/>
        <w:jc w:val="center"/>
        <w:rPr>
          <w:rFonts w:hint="default" w:ascii="宋体" w:hAnsi="宋体" w:eastAsia="宋体" w:cs="宋体"/>
          <w:b/>
          <w:bCs/>
          <w:spacing w:val="2"/>
          <w:sz w:val="72"/>
          <w:szCs w:val="72"/>
          <w:lang w:val="en-US" w:eastAsia="zh-CN"/>
        </w:rPr>
      </w:pP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jc w:val="center"/>
        <w:rPr>
          <w:rFonts w:hint="eastAsia" w:ascii="宋体" w:hAnsi="宋体" w:eastAsia="宋体" w:cs="宋体"/>
          <w:b/>
          <w:bCs/>
          <w:spacing w:val="2"/>
          <w:sz w:val="36"/>
          <w:szCs w:val="36"/>
          <w:lang w:val="en-US" w:eastAsia="zh-CN"/>
        </w:rPr>
      </w:pPr>
      <w:r>
        <w:rPr>
          <w:rFonts w:hint="eastAsia" w:ascii="宋体" w:hAnsi="宋体" w:eastAsia="宋体" w:cs="宋体"/>
          <w:b/>
          <w:bCs/>
          <w:spacing w:val="2"/>
          <w:sz w:val="36"/>
          <w:szCs w:val="36"/>
          <w:lang w:val="en-US" w:eastAsia="zh-CN"/>
        </w:rPr>
        <w:t>《智慧空气开关》标准起草小组</w:t>
      </w:r>
    </w:p>
    <w:p>
      <w:pPr>
        <w:spacing w:before="46" w:line="219" w:lineRule="auto"/>
        <w:jc w:val="center"/>
        <w:rPr>
          <w:rFonts w:hint="eastAsia" w:ascii="宋体" w:hAnsi="宋体" w:eastAsia="宋体" w:cs="宋体"/>
          <w:b/>
          <w:bCs/>
          <w:spacing w:val="2"/>
          <w:sz w:val="36"/>
          <w:szCs w:val="36"/>
          <w:lang w:val="en-US" w:eastAsia="zh-CN"/>
        </w:rPr>
      </w:pPr>
    </w:p>
    <w:p>
      <w:pPr>
        <w:spacing w:before="46" w:line="219" w:lineRule="auto"/>
        <w:jc w:val="center"/>
        <w:rPr>
          <w:rFonts w:hint="default" w:ascii="宋体" w:hAnsi="宋体" w:eastAsia="宋体" w:cs="宋体"/>
          <w:b/>
          <w:bCs/>
          <w:spacing w:val="2"/>
          <w:sz w:val="36"/>
          <w:szCs w:val="36"/>
          <w:lang w:val="en-US" w:eastAsia="zh-CN"/>
        </w:rPr>
      </w:pPr>
      <w:r>
        <w:rPr>
          <w:rFonts w:hint="eastAsia" w:ascii="宋体" w:hAnsi="宋体" w:eastAsia="宋体" w:cs="宋体"/>
          <w:b/>
          <w:bCs/>
          <w:spacing w:val="2"/>
          <w:sz w:val="36"/>
          <w:szCs w:val="36"/>
          <w:lang w:val="en-US" w:eastAsia="zh-CN"/>
        </w:rPr>
        <w:t>2022年5月</w:t>
      </w: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19" w:lineRule="auto"/>
        <w:ind w:firstLine="69"/>
        <w:jc w:val="center"/>
        <w:rPr>
          <w:rFonts w:hint="eastAsia" w:ascii="宋体" w:hAnsi="宋体" w:eastAsia="宋体" w:cs="宋体"/>
          <w:b/>
          <w:bCs/>
          <w:spacing w:val="2"/>
          <w:sz w:val="36"/>
          <w:szCs w:val="36"/>
          <w:lang w:val="en-US" w:eastAsia="zh-CN"/>
        </w:rPr>
      </w:pPr>
    </w:p>
    <w:p>
      <w:pPr>
        <w:spacing w:before="46" w:line="240" w:lineRule="auto"/>
        <w:ind w:firstLine="69"/>
        <w:jc w:val="center"/>
        <w:rPr>
          <w:rFonts w:hint="eastAsia" w:ascii="宋体" w:hAnsi="宋体" w:eastAsia="宋体" w:cs="宋体"/>
          <w:b/>
          <w:bCs/>
          <w:spacing w:val="2"/>
          <w:sz w:val="48"/>
          <w:szCs w:val="48"/>
          <w:lang w:val="en-US" w:eastAsia="zh-CN"/>
        </w:rPr>
      </w:pPr>
      <w:r>
        <w:rPr>
          <w:rFonts w:hint="eastAsia" w:ascii="宋体" w:hAnsi="宋体" w:eastAsia="宋体" w:cs="宋体"/>
          <w:b/>
          <w:bCs/>
          <w:spacing w:val="2"/>
          <w:sz w:val="48"/>
          <w:szCs w:val="48"/>
          <w:lang w:val="en-US" w:eastAsia="zh-CN"/>
        </w:rPr>
        <w:t>广东省电机工程学会团体标准</w:t>
      </w:r>
    </w:p>
    <w:p>
      <w:pPr>
        <w:spacing w:before="46" w:line="240" w:lineRule="auto"/>
        <w:ind w:firstLine="69"/>
        <w:jc w:val="center"/>
        <w:rPr>
          <w:rFonts w:hint="eastAsia" w:ascii="宋体" w:hAnsi="宋体" w:eastAsia="宋体" w:cs="宋体"/>
          <w:b/>
          <w:bCs/>
          <w:spacing w:val="2"/>
          <w:sz w:val="44"/>
          <w:szCs w:val="44"/>
          <w:lang w:val="en-US" w:eastAsia="zh-CN"/>
        </w:rPr>
      </w:pPr>
      <w:r>
        <w:rPr>
          <w:rFonts w:hint="eastAsia" w:ascii="宋体" w:hAnsi="宋体" w:eastAsia="宋体" w:cs="宋体"/>
          <w:b/>
          <w:bCs/>
          <w:spacing w:val="2"/>
          <w:sz w:val="44"/>
          <w:szCs w:val="44"/>
          <w:lang w:val="en-US" w:eastAsia="zh-CN"/>
        </w:rPr>
        <w:t>《智慧空气开关》</w:t>
      </w:r>
    </w:p>
    <w:p>
      <w:pPr>
        <w:spacing w:before="46" w:line="240" w:lineRule="auto"/>
        <w:ind w:firstLine="69"/>
        <w:jc w:val="center"/>
        <w:rPr>
          <w:rFonts w:hint="eastAsia" w:ascii="宋体" w:hAnsi="宋体" w:eastAsia="宋体" w:cs="宋体"/>
          <w:b/>
          <w:bCs/>
          <w:spacing w:val="2"/>
          <w:sz w:val="36"/>
          <w:szCs w:val="36"/>
          <w:lang w:val="en-US" w:eastAsia="zh-CN"/>
        </w:rPr>
      </w:pPr>
      <w:r>
        <w:rPr>
          <w:rFonts w:hint="eastAsia" w:ascii="宋体" w:hAnsi="宋体" w:eastAsia="宋体" w:cs="宋体"/>
          <w:b/>
          <w:bCs/>
          <w:spacing w:val="2"/>
          <w:sz w:val="36"/>
          <w:szCs w:val="36"/>
          <w:lang w:val="en-US" w:eastAsia="zh-CN"/>
        </w:rPr>
        <w:t>编 制 说 明</w:t>
      </w:r>
    </w:p>
    <w:p>
      <w:pPr>
        <w:spacing w:before="46" w:line="240" w:lineRule="auto"/>
        <w:ind w:firstLine="69"/>
        <w:jc w:val="both"/>
        <w:rPr>
          <w:rFonts w:hint="eastAsia" w:ascii="宋体" w:hAnsi="宋体" w:eastAsia="宋体" w:cs="宋体"/>
          <w:b/>
          <w:bCs/>
          <w:spacing w:val="2"/>
          <w:sz w:val="36"/>
          <w:szCs w:val="36"/>
          <w:lang w:val="en-US" w:eastAsia="zh-CN"/>
        </w:rPr>
      </w:pPr>
    </w:p>
    <w:p>
      <w:pPr>
        <w:spacing w:before="46" w:line="219" w:lineRule="auto"/>
        <w:ind w:firstLine="69"/>
        <w:rPr>
          <w:rFonts w:ascii="宋体" w:hAnsi="宋体" w:eastAsia="宋体" w:cs="宋体"/>
          <w:b/>
          <w:bCs/>
          <w:spacing w:val="2"/>
          <w:sz w:val="28"/>
          <w:szCs w:val="28"/>
        </w:rPr>
      </w:pPr>
    </w:p>
    <w:p>
      <w:pPr>
        <w:numPr>
          <w:ilvl w:val="0"/>
          <w:numId w:val="1"/>
        </w:numPr>
        <w:spacing w:before="46" w:line="360" w:lineRule="auto"/>
        <w:ind w:firstLine="69"/>
        <w:rPr>
          <w:rFonts w:hint="eastAsia" w:ascii="宋体" w:hAnsi="宋体" w:eastAsia="宋体" w:cs="宋体"/>
          <w:b/>
          <w:bCs/>
          <w:spacing w:val="2"/>
          <w:sz w:val="28"/>
          <w:szCs w:val="28"/>
          <w:lang w:val="en-US" w:eastAsia="zh-CN"/>
        </w:rPr>
      </w:pPr>
      <w:r>
        <w:rPr>
          <w:rFonts w:hint="eastAsia" w:ascii="宋体" w:hAnsi="宋体" w:eastAsia="宋体" w:cs="宋体"/>
          <w:b/>
          <w:bCs/>
          <w:spacing w:val="2"/>
          <w:sz w:val="28"/>
          <w:szCs w:val="28"/>
          <w:lang w:val="en-US" w:eastAsia="zh-CN"/>
        </w:rPr>
        <w:t>标准制定背景</w:t>
      </w:r>
    </w:p>
    <w:p>
      <w:pPr>
        <w:numPr>
          <w:ilvl w:val="0"/>
          <w:numId w:val="0"/>
        </w:numPr>
        <w:spacing w:before="46"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随着市场经济的高速发展，用电设备剧增，其引发的火灾和人体触电事故屡有发生，给人类的生命财产安全造成重大威胁，安全用电时刻警醒人类。</w:t>
      </w:r>
    </w:p>
    <w:p>
      <w:pPr>
        <w:numPr>
          <w:ilvl w:val="0"/>
          <w:numId w:val="0"/>
        </w:numPr>
        <w:spacing w:before="46" w:line="360" w:lineRule="auto"/>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目前国外主流传统空开品牌厂家都未发行智慧型空开产品，所以暂时也还未能收集到国外的智慧空开标准，而国内已经涌现了大批的智慧型空开应用，但相关的功能参数都是各自具有各自的特点，没有行成统一的标准。</w:t>
      </w:r>
    </w:p>
    <w:p>
      <w:pPr>
        <w:spacing w:before="46" w:line="360" w:lineRule="auto"/>
        <w:ind w:firstLine="69"/>
        <w:rPr>
          <w:rFonts w:ascii="宋体" w:hAnsi="宋体" w:eastAsia="宋体" w:cs="宋体"/>
          <w:spacing w:val="2"/>
          <w:sz w:val="28"/>
          <w:szCs w:val="28"/>
        </w:rPr>
      </w:pPr>
      <w:r>
        <w:rPr>
          <w:rFonts w:hint="eastAsia" w:ascii="宋体" w:hAnsi="宋体" w:eastAsia="宋体" w:cs="宋体"/>
          <w:b/>
          <w:bCs/>
          <w:spacing w:val="2"/>
          <w:sz w:val="28"/>
          <w:szCs w:val="28"/>
          <w:lang w:val="en-US" w:eastAsia="zh-CN"/>
        </w:rPr>
        <w:t>二、</w:t>
      </w:r>
      <w:r>
        <w:rPr>
          <w:rFonts w:ascii="宋体" w:hAnsi="宋体" w:eastAsia="宋体" w:cs="宋体"/>
          <w:b/>
          <w:bCs/>
          <w:spacing w:val="2"/>
          <w:sz w:val="28"/>
          <w:szCs w:val="28"/>
        </w:rPr>
        <w:t>目的</w:t>
      </w:r>
      <w:r>
        <w:rPr>
          <w:rFonts w:hint="eastAsia" w:ascii="宋体" w:hAnsi="宋体" w:eastAsia="宋体" w:cs="宋体"/>
          <w:b/>
          <w:bCs/>
          <w:spacing w:val="2"/>
          <w:sz w:val="28"/>
          <w:szCs w:val="28"/>
          <w:lang w:val="en-US" w:eastAsia="zh-CN"/>
        </w:rPr>
        <w:t>及</w:t>
      </w:r>
      <w:r>
        <w:rPr>
          <w:rFonts w:ascii="宋体" w:hAnsi="宋体" w:eastAsia="宋体" w:cs="宋体"/>
          <w:b/>
          <w:bCs/>
          <w:spacing w:val="2"/>
          <w:sz w:val="28"/>
          <w:szCs w:val="28"/>
        </w:rPr>
        <w:t>意义</w:t>
      </w:r>
    </w:p>
    <w:p>
      <w:pPr>
        <w:spacing w:before="50" w:line="360" w:lineRule="auto"/>
        <w:ind w:firstLine="649" w:firstLineChars="23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编制团体标准《智慧空气开关》，是为让智慧型空气开关更加智慧、更安全和规划化地走进千家万户。智慧型空气开关它属于低压断路器中的一种，当电路中发生短路、漏电、过压、欠压、过载、过温、打火、缺相状态时前端自动脱扣断电保护，这样即可以对输电线路以及使用中的电器设备起到保护延长寿命，避免人体触电伤害，还可以有效预防电气火灾的发生。对于现代安全用电需求的提高，传统空气开关在功能上逐渐无法满足对用电安全的需求，智慧空开</w:t>
      </w:r>
      <w:bookmarkStart w:id="0" w:name="_GoBack"/>
      <w:bookmarkEnd w:id="0"/>
      <w:r>
        <w:rPr>
          <w:rFonts w:hint="eastAsia" w:ascii="宋体" w:hAnsi="宋体" w:eastAsia="宋体" w:cs="宋体"/>
          <w:sz w:val="28"/>
          <w:szCs w:val="28"/>
          <w:lang w:val="en-US" w:eastAsia="zh-CN"/>
        </w:rPr>
        <w:t>通过引入物联网技术和边缘计算技术来实现对用电设备的运行数据处理，设备状态监测，预警、报警等智能化用电管理。智慧型空开产品的相关电流计量、电压计量以及多种保护功能的技术可靠性要求，行业上没有统一标准，目前基本上由各企业根据行业里单项的要求自行设计，缺少统一标准，难以对各行业场景应用的安全系数来保证其安全性，或通过经验估算进行设计，存在一定的可靠性风险。</w:t>
      </w:r>
    </w:p>
    <w:p>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随着人工智能、物联网、大数据等技术的不断应用，对于各细分行业的安全用电管理以及能耗管控，以团体标准的形式进行规范，有迫切性和发展意义。智慧型空气开关团体标准的推出，有利于行业内对智慧空气开关进行统一设计和优化， 并有利于对其进行安全性验证或可靠性试验，为智慧型空气开关在各细分领域的应用的统一和优化设计创造了条件，有利于对智慧空开的安全认证，也有利于智慧空开的标准化。本项目标准的完成，将提高智慧空气开关整体的可靠性，如果通过省电机学会的引导推荐，在本省相关行业充分应用的话，在本行业内具有比较明显的社会效益和经济效益。</w:t>
      </w:r>
    </w:p>
    <w:p>
      <w:pPr>
        <w:numPr>
          <w:ilvl w:val="0"/>
          <w:numId w:val="0"/>
        </w:numPr>
        <w:spacing w:before="68" w:line="360" w:lineRule="auto"/>
        <w:ind w:left="69" w:leftChars="0"/>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三、工作过程</w:t>
      </w:r>
    </w:p>
    <w:p>
      <w:pPr>
        <w:numPr>
          <w:ilvl w:val="0"/>
          <w:numId w:val="0"/>
        </w:numPr>
        <w:spacing w:before="68" w:line="360" w:lineRule="auto"/>
        <w:ind w:left="69" w:leftChars="0"/>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1、调研阶段</w:t>
      </w:r>
    </w:p>
    <w:p>
      <w:pPr>
        <w:numPr>
          <w:ilvl w:val="0"/>
          <w:numId w:val="0"/>
        </w:numPr>
        <w:spacing w:before="68" w:line="360" w:lineRule="auto"/>
        <w:ind w:left="69" w:leftChars="0" w:firstLine="572" w:firstLineChars="200"/>
        <w:rPr>
          <w:rFonts w:hint="eastAsia"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2021年10月众源科技（广东）股份有限公司、广东必达电器有限公司和广东中质检测技术有限公司等组成标准工作组，工作组广泛收集国内外相关技术文献和资料，分析并整理形成本标准主要框架、内容和重要技术参数等。</w:t>
      </w:r>
    </w:p>
    <w:p>
      <w:pPr>
        <w:numPr>
          <w:ilvl w:val="0"/>
          <w:numId w:val="0"/>
        </w:numPr>
        <w:spacing w:before="68" w:line="360" w:lineRule="auto"/>
        <w:ind w:left="69" w:leftChars="0" w:firstLine="572" w:firstLineChars="200"/>
        <w:rPr>
          <w:rFonts w:hint="eastAsia"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本标准由众源科技（广东）股份有限公司、广东必达电器有限公司和广东中质检测技术有限公司等公司参与编制起草标准的相关资料，并对标准初稿提出有利于行业规范、安全保护等方面的建设性意见，众源科技（广东）股份有限公司组织进行团体标准的编制工作并负责相关工作的开展。</w:t>
      </w:r>
    </w:p>
    <w:p>
      <w:pPr>
        <w:numPr>
          <w:ilvl w:val="0"/>
          <w:numId w:val="0"/>
        </w:numPr>
        <w:spacing w:before="68" w:line="360" w:lineRule="auto"/>
        <w:ind w:left="69" w:leftChars="0" w:firstLine="572" w:firstLineChars="200"/>
        <w:rPr>
          <w:rFonts w:hint="eastAsia" w:ascii="宋体" w:hAnsi="宋体" w:eastAsia="宋体" w:cs="宋体"/>
          <w:b w:val="0"/>
          <w:bCs w:val="0"/>
          <w:spacing w:val="3"/>
          <w:sz w:val="28"/>
          <w:szCs w:val="28"/>
          <w:lang w:val="en-US" w:eastAsia="zh-CN"/>
        </w:rPr>
      </w:pPr>
    </w:p>
    <w:p>
      <w:pPr>
        <w:numPr>
          <w:ilvl w:val="0"/>
          <w:numId w:val="0"/>
        </w:numPr>
        <w:spacing w:before="68" w:line="360" w:lineRule="auto"/>
        <w:ind w:left="69" w:leftChars="0" w:firstLine="572" w:firstLineChars="200"/>
        <w:rPr>
          <w:rFonts w:hint="default" w:ascii="宋体" w:hAnsi="宋体" w:eastAsia="宋体" w:cs="宋体"/>
          <w:b w:val="0"/>
          <w:bCs w:val="0"/>
          <w:spacing w:val="3"/>
          <w:sz w:val="28"/>
          <w:szCs w:val="28"/>
          <w:lang w:val="en-US" w:eastAsia="zh-CN"/>
        </w:rPr>
      </w:pPr>
    </w:p>
    <w:p>
      <w:pPr>
        <w:numPr>
          <w:ilvl w:val="0"/>
          <w:numId w:val="2"/>
        </w:numPr>
        <w:spacing w:before="68" w:line="360" w:lineRule="auto"/>
        <w:ind w:left="69" w:leftChars="0"/>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立项阶段</w:t>
      </w:r>
    </w:p>
    <w:p>
      <w:pPr>
        <w:numPr>
          <w:ilvl w:val="0"/>
          <w:numId w:val="0"/>
        </w:numPr>
        <w:spacing w:before="68" w:line="360" w:lineRule="auto"/>
        <w:ind w:firstLine="572" w:firstLineChars="200"/>
        <w:rPr>
          <w:rFonts w:hint="default"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众源科技（广东）股份有限公司于2021年12月向广东省电机工程学会递交团体标准《智慧空气开关》立项申请表，并于2021年12月29日获得立项审批通过。</w:t>
      </w:r>
    </w:p>
    <w:p>
      <w:pPr>
        <w:numPr>
          <w:ilvl w:val="0"/>
          <w:numId w:val="2"/>
        </w:numPr>
        <w:spacing w:before="68" w:line="360" w:lineRule="auto"/>
        <w:ind w:left="69" w:leftChars="0" w:firstLine="0" w:firstLineChars="0"/>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标准草案起草阶段</w:t>
      </w:r>
    </w:p>
    <w:p>
      <w:pPr>
        <w:numPr>
          <w:ilvl w:val="0"/>
          <w:numId w:val="0"/>
        </w:numPr>
        <w:spacing w:before="68" w:line="360" w:lineRule="auto"/>
        <w:ind w:left="69" w:leftChars="0" w:firstLine="572" w:firstLineChars="200"/>
        <w:rPr>
          <w:rFonts w:hint="eastAsia"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工作组依据国际、国家或行业的标准化及技术要求，并结合调研情况，分别于2022年2月提出标准草案，并多次通过线上和线下进行研讨，于2022年3月对标准草案进行修改完善，并形成标准征求意见稿。</w:t>
      </w:r>
    </w:p>
    <w:p>
      <w:pPr>
        <w:numPr>
          <w:ilvl w:val="0"/>
          <w:numId w:val="2"/>
        </w:numPr>
        <w:spacing w:before="68" w:line="360" w:lineRule="auto"/>
        <w:ind w:left="69" w:leftChars="0" w:firstLine="0" w:firstLineChars="0"/>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标准征求意见阶段</w:t>
      </w:r>
    </w:p>
    <w:p>
      <w:pPr>
        <w:numPr>
          <w:ilvl w:val="0"/>
          <w:numId w:val="0"/>
        </w:numPr>
        <w:spacing w:before="68" w:line="360" w:lineRule="auto"/>
        <w:ind w:left="69" w:leftChars="0" w:firstLine="572" w:firstLineChars="200"/>
        <w:rPr>
          <w:rFonts w:hint="default" w:ascii="宋体" w:hAnsi="宋体" w:eastAsia="宋体" w:cs="宋体"/>
          <w:b/>
          <w:bCs/>
          <w:spacing w:val="3"/>
          <w:sz w:val="28"/>
          <w:szCs w:val="28"/>
          <w:lang w:val="en-US" w:eastAsia="zh-CN"/>
        </w:rPr>
      </w:pPr>
      <w:r>
        <w:rPr>
          <w:rFonts w:hint="eastAsia" w:ascii="宋体" w:hAnsi="宋体" w:eastAsia="宋体" w:cs="宋体"/>
          <w:b w:val="0"/>
          <w:bCs w:val="0"/>
          <w:spacing w:val="3"/>
          <w:sz w:val="28"/>
          <w:szCs w:val="28"/>
          <w:lang w:val="en-US" w:eastAsia="zh-CN"/>
        </w:rPr>
        <w:t>标准于2022年4月1日至2022年5月15日征求意见，工作组对反馈的意见进行分析，并根据采纳的意见对标准进行修改。</w:t>
      </w:r>
    </w:p>
    <w:p>
      <w:pPr>
        <w:numPr>
          <w:ilvl w:val="0"/>
          <w:numId w:val="2"/>
        </w:numPr>
        <w:spacing w:before="68" w:line="360" w:lineRule="auto"/>
        <w:ind w:left="69" w:leftChars="0" w:firstLine="0" w:firstLineChars="0"/>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标准送审发布阶段</w:t>
      </w:r>
    </w:p>
    <w:p>
      <w:pPr>
        <w:numPr>
          <w:ilvl w:val="0"/>
          <w:numId w:val="0"/>
        </w:numPr>
        <w:spacing w:before="68" w:line="360" w:lineRule="auto"/>
        <w:ind w:left="69" w:leftChars="0" w:firstLine="572" w:firstLineChars="200"/>
        <w:rPr>
          <w:rFonts w:hint="default" w:ascii="宋体" w:hAnsi="宋体" w:eastAsia="宋体" w:cs="宋体"/>
          <w:b/>
          <w:bCs/>
          <w:spacing w:val="3"/>
          <w:sz w:val="28"/>
          <w:szCs w:val="28"/>
          <w:lang w:val="en-US" w:eastAsia="zh-CN"/>
        </w:rPr>
      </w:pPr>
      <w:r>
        <w:rPr>
          <w:rFonts w:hint="eastAsia" w:ascii="宋体" w:hAnsi="宋体" w:eastAsia="宋体" w:cs="宋体"/>
          <w:b w:val="0"/>
          <w:bCs w:val="0"/>
          <w:spacing w:val="3"/>
          <w:sz w:val="28"/>
          <w:szCs w:val="28"/>
          <w:lang w:val="en-US" w:eastAsia="zh-CN"/>
        </w:rPr>
        <w:t>标准计划于2022年5月23日进行评审。</w:t>
      </w:r>
    </w:p>
    <w:p>
      <w:pPr>
        <w:numPr>
          <w:ilvl w:val="0"/>
          <w:numId w:val="0"/>
        </w:numPr>
        <w:spacing w:before="68" w:line="360" w:lineRule="auto"/>
        <w:ind w:left="69" w:leftChars="0"/>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四、标准编制原则</w:t>
      </w:r>
    </w:p>
    <w:p>
      <w:pPr>
        <w:numPr>
          <w:ilvl w:val="0"/>
          <w:numId w:val="0"/>
        </w:numPr>
        <w:spacing w:before="68" w:line="360" w:lineRule="auto"/>
        <w:ind w:left="69" w:leftChars="0" w:firstLine="584"/>
        <w:rPr>
          <w:rFonts w:hint="eastAsia"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本标准在制定过程中秉承科学性、合理性和可操作性及以下原则进行编制工作：</w:t>
      </w:r>
    </w:p>
    <w:p>
      <w:pPr>
        <w:numPr>
          <w:ilvl w:val="0"/>
          <w:numId w:val="0"/>
        </w:numPr>
        <w:spacing w:before="68" w:line="360" w:lineRule="auto"/>
        <w:ind w:left="69" w:leftChars="0" w:firstLine="584"/>
        <w:rPr>
          <w:rFonts w:hint="eastAsia"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--按照GB/T1.1-2020《标准化工作导则  第一部分：标准化文件的结构和起草规则》标准的规定进行编写；</w:t>
      </w:r>
    </w:p>
    <w:p>
      <w:pPr>
        <w:numPr>
          <w:ilvl w:val="0"/>
          <w:numId w:val="0"/>
        </w:numPr>
        <w:spacing w:before="68" w:line="360" w:lineRule="auto"/>
        <w:ind w:left="69" w:leftChars="0" w:firstLine="584"/>
        <w:rPr>
          <w:rFonts w:hint="eastAsia"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--符合国家现行相关法律、法规、规章；</w:t>
      </w:r>
    </w:p>
    <w:p>
      <w:pPr>
        <w:numPr>
          <w:ilvl w:val="0"/>
          <w:numId w:val="0"/>
        </w:numPr>
        <w:spacing w:before="68" w:line="360" w:lineRule="auto"/>
        <w:ind w:left="69" w:leftChars="0" w:firstLine="584"/>
        <w:rPr>
          <w:rFonts w:hint="default" w:ascii="宋体" w:hAnsi="宋体" w:eastAsia="宋体" w:cs="宋体"/>
          <w:b w:val="0"/>
          <w:bCs w:val="0"/>
          <w:spacing w:val="3"/>
          <w:sz w:val="28"/>
          <w:szCs w:val="28"/>
          <w:lang w:val="en-US" w:eastAsia="zh-CN"/>
        </w:rPr>
      </w:pPr>
      <w:r>
        <w:rPr>
          <w:rFonts w:hint="eastAsia" w:ascii="宋体" w:hAnsi="宋体" w:eastAsia="宋体" w:cs="宋体"/>
          <w:b w:val="0"/>
          <w:bCs w:val="0"/>
          <w:spacing w:val="3"/>
          <w:sz w:val="28"/>
          <w:szCs w:val="28"/>
          <w:lang w:val="en-US" w:eastAsia="zh-CN"/>
        </w:rPr>
        <w:t>--与相关推荐性国家标准、行业标准保持一致。</w:t>
      </w:r>
    </w:p>
    <w:p>
      <w:pPr>
        <w:spacing w:before="68" w:line="360" w:lineRule="auto"/>
        <w:ind w:firstLine="69"/>
        <w:rPr>
          <w:rFonts w:ascii="宋体" w:hAnsi="宋体" w:eastAsia="宋体" w:cs="宋体"/>
          <w:spacing w:val="3"/>
          <w:sz w:val="28"/>
          <w:szCs w:val="28"/>
        </w:rPr>
      </w:pPr>
      <w:r>
        <w:rPr>
          <w:rFonts w:hint="eastAsia" w:ascii="宋体" w:hAnsi="宋体" w:eastAsia="宋体" w:cs="宋体"/>
          <w:b/>
          <w:bCs/>
          <w:spacing w:val="3"/>
          <w:sz w:val="28"/>
          <w:szCs w:val="28"/>
          <w:lang w:val="en-US" w:eastAsia="zh-CN"/>
        </w:rPr>
        <w:t>五、</w:t>
      </w:r>
      <w:r>
        <w:rPr>
          <w:rFonts w:ascii="宋体" w:hAnsi="宋体" w:eastAsia="宋体" w:cs="宋体"/>
          <w:b/>
          <w:bCs/>
          <w:spacing w:val="3"/>
          <w:sz w:val="28"/>
          <w:szCs w:val="28"/>
        </w:rPr>
        <w:t>适用范围和主要技术内容</w:t>
      </w:r>
    </w:p>
    <w:p>
      <w:pPr>
        <w:spacing w:before="50" w:line="360" w:lineRule="auto"/>
        <w:ind w:firstLine="649" w:firstLineChars="232"/>
        <w:rPr>
          <w:rFonts w:hint="eastAsia" w:ascii="宋体" w:hAnsi="宋体" w:eastAsia="宋体" w:cs="宋体"/>
          <w:sz w:val="28"/>
          <w:szCs w:val="28"/>
        </w:rPr>
      </w:pPr>
      <w:r>
        <w:rPr>
          <w:rFonts w:hint="eastAsia" w:ascii="宋体" w:hAnsi="宋体" w:eastAsia="宋体" w:cs="宋体"/>
          <w:sz w:val="28"/>
          <w:szCs w:val="28"/>
          <w:lang w:val="en-US" w:eastAsia="zh-CN"/>
        </w:rPr>
        <w:t>本标准拟规定智慧型空气开关适用于医院、学校、银行、电网、通讯行业、智慧灯杆、消防、园区、社区、工厂、酒店、商厦、公共场所及家居等领域的用电保护安全。主要技术内容有使用条件（保护功能、电流、电压、功率等）、术语和定义、设计与性能要求、试验方法及出厂试验等。</w:t>
      </w:r>
    </w:p>
    <w:p>
      <w:pPr>
        <w:spacing w:before="70" w:line="360" w:lineRule="auto"/>
        <w:ind w:firstLine="89"/>
        <w:rPr>
          <w:rFonts w:ascii="宋体" w:hAnsi="宋体" w:eastAsia="宋体" w:cs="宋体"/>
          <w:spacing w:val="5"/>
          <w:sz w:val="28"/>
          <w:szCs w:val="28"/>
        </w:rPr>
      </w:pPr>
      <w:r>
        <w:rPr>
          <w:rFonts w:hint="eastAsia" w:ascii="宋体" w:hAnsi="宋体" w:eastAsia="宋体" w:cs="宋体"/>
          <w:b/>
          <w:bCs/>
          <w:spacing w:val="5"/>
          <w:sz w:val="28"/>
          <w:szCs w:val="28"/>
          <w:lang w:val="en-US" w:eastAsia="zh-CN"/>
        </w:rPr>
        <w:t>六、标准编制依据</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本标准属于</w:t>
      </w:r>
      <w:r>
        <w:rPr>
          <w:rFonts w:hint="eastAsia" w:ascii="宋体" w:hAnsi="宋体" w:eastAsia="宋体" w:cs="宋体"/>
          <w:sz w:val="28"/>
          <w:szCs w:val="28"/>
          <w:lang w:val="en-US" w:eastAsia="zh-CN"/>
        </w:rPr>
        <w:t>智慧用电智能化设备</w:t>
      </w:r>
      <w:r>
        <w:rPr>
          <w:rFonts w:hint="eastAsia" w:ascii="宋体" w:hAnsi="宋体" w:eastAsia="宋体" w:cs="宋体"/>
          <w:sz w:val="28"/>
          <w:szCs w:val="28"/>
        </w:rPr>
        <w:t>标准，暂时不涉及法律法规层面，计划引用的国家标准和相关技术规范如下:</w:t>
      </w:r>
    </w:p>
    <w:p>
      <w:pPr>
        <w:spacing w:line="360" w:lineRule="auto"/>
        <w:ind w:firstLine="560" w:firstLineChars="200"/>
        <w:rPr>
          <w:rFonts w:hint="eastAsia" w:ascii="宋体" w:hAnsi="宋体" w:eastAsia="宋体" w:cs="宋体"/>
          <w:sz w:val="28"/>
          <w:szCs w:val="28"/>
        </w:rPr>
      </w:pP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GB/T</w:t>
      </w:r>
      <w:r>
        <w:rPr>
          <w:rFonts w:hint="eastAsia" w:ascii="宋体" w:hAnsi="宋体" w:eastAsia="宋体" w:cs="宋体"/>
          <w:sz w:val="24"/>
          <w:szCs w:val="24"/>
          <w:lang w:val="en-US" w:eastAsia="zh-CN"/>
        </w:rPr>
        <w:t>2423.1-2008     电工电子产品环境试验 第2部分：试验方法试验A：低温</w:t>
      </w:r>
    </w:p>
    <w:p>
      <w:pPr>
        <w:spacing w:line="360" w:lineRule="auto"/>
        <w:rPr>
          <w:rFonts w:hint="eastAsia" w:ascii="宋体" w:hAnsi="宋体" w:eastAsia="宋体" w:cs="宋体"/>
          <w:sz w:val="24"/>
          <w:szCs w:val="24"/>
        </w:rPr>
      </w:pPr>
      <w:r>
        <w:rPr>
          <w:rFonts w:hint="eastAsia" w:ascii="宋体" w:hAnsi="宋体" w:eastAsia="宋体" w:cs="宋体"/>
          <w:sz w:val="24"/>
          <w:szCs w:val="24"/>
        </w:rPr>
        <w:t>GB/T</w:t>
      </w:r>
      <w:r>
        <w:rPr>
          <w:rFonts w:hint="eastAsia" w:ascii="宋体" w:hAnsi="宋体" w:eastAsia="宋体" w:cs="宋体"/>
          <w:sz w:val="24"/>
          <w:szCs w:val="24"/>
          <w:lang w:val="en-US" w:eastAsia="zh-CN"/>
        </w:rPr>
        <w:t>2423.2-2008     电工电子产品环境试验 第2部分：试验方法试验B：高温</w:t>
      </w:r>
    </w:p>
    <w:p>
      <w:pPr>
        <w:spacing w:line="360" w:lineRule="auto"/>
        <w:ind w:left="2400" w:hanging="2400" w:hangingChars="1000"/>
        <w:rPr>
          <w:rFonts w:hint="eastAsia" w:ascii="宋体" w:hAnsi="宋体" w:eastAsia="宋体" w:cs="宋体"/>
          <w:sz w:val="24"/>
          <w:szCs w:val="24"/>
          <w:lang w:val="en-US"/>
        </w:rPr>
      </w:pPr>
      <w:r>
        <w:rPr>
          <w:rFonts w:hint="eastAsia" w:ascii="宋体" w:hAnsi="宋体" w:eastAsia="宋体" w:cs="宋体"/>
          <w:sz w:val="24"/>
          <w:szCs w:val="24"/>
        </w:rPr>
        <w:t>GB/T</w:t>
      </w:r>
      <w:r>
        <w:rPr>
          <w:rFonts w:hint="eastAsia" w:ascii="宋体" w:hAnsi="宋体" w:eastAsia="宋体" w:cs="宋体"/>
          <w:sz w:val="24"/>
          <w:szCs w:val="24"/>
          <w:lang w:val="en-US" w:eastAsia="zh-CN"/>
        </w:rPr>
        <w:t>2423.10-2008    电工电子产品环境试验 第2部分：试验方法试验Fc：振动（正弦）</w:t>
      </w:r>
    </w:p>
    <w:p>
      <w:pPr>
        <w:spacing w:line="360" w:lineRule="auto"/>
        <w:rPr>
          <w:rFonts w:hint="eastAsia" w:ascii="宋体" w:hAnsi="宋体" w:eastAsia="宋体" w:cs="宋体"/>
          <w:sz w:val="24"/>
          <w:szCs w:val="24"/>
          <w:lang w:val="en-US"/>
        </w:rPr>
      </w:pPr>
      <w:r>
        <w:rPr>
          <w:rFonts w:hint="eastAsia" w:ascii="宋体" w:hAnsi="宋体" w:eastAsia="宋体" w:cs="宋体"/>
          <w:sz w:val="24"/>
          <w:szCs w:val="24"/>
        </w:rPr>
        <w:t>GB/T</w:t>
      </w:r>
      <w:r>
        <w:rPr>
          <w:rFonts w:hint="eastAsia" w:ascii="宋体" w:hAnsi="宋体" w:eastAsia="宋体" w:cs="宋体"/>
          <w:sz w:val="24"/>
          <w:szCs w:val="24"/>
          <w:lang w:val="en-US" w:eastAsia="zh-CN"/>
        </w:rPr>
        <w:t>2900.18</w:t>
      </w:r>
      <w:r>
        <w:rPr>
          <w:rFonts w:hint="eastAsia" w:ascii="宋体" w:hAnsi="宋体" w:eastAsia="宋体" w:cs="宋体"/>
          <w:sz w:val="24"/>
          <w:szCs w:val="24"/>
        </w:rPr>
        <w:t xml:space="preserve"> -2</w:t>
      </w:r>
      <w:r>
        <w:rPr>
          <w:rFonts w:hint="eastAsia" w:ascii="宋体" w:hAnsi="宋体" w:eastAsia="宋体" w:cs="宋体"/>
          <w:sz w:val="24"/>
          <w:szCs w:val="24"/>
          <w:lang w:val="en-US" w:eastAsia="zh-CN"/>
        </w:rPr>
        <w:t>008   电工术语  低压电器</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GB/T</w:t>
      </w:r>
      <w:r>
        <w:rPr>
          <w:rFonts w:hint="eastAsia" w:ascii="宋体" w:hAnsi="宋体" w:eastAsia="宋体" w:cs="宋体"/>
          <w:sz w:val="24"/>
          <w:szCs w:val="24"/>
          <w:lang w:val="en-US" w:eastAsia="zh-CN"/>
        </w:rPr>
        <w:t>4208</w:t>
      </w:r>
      <w:r>
        <w:rPr>
          <w:rFonts w:hint="eastAsia" w:ascii="宋体" w:hAnsi="宋体" w:eastAsia="宋体" w:cs="宋体"/>
          <w:sz w:val="24"/>
          <w:szCs w:val="24"/>
        </w:rPr>
        <w:t>-</w:t>
      </w:r>
      <w:r>
        <w:rPr>
          <w:rFonts w:hint="eastAsia" w:ascii="宋体" w:hAnsi="宋体" w:eastAsia="宋体" w:cs="宋体"/>
          <w:sz w:val="24"/>
          <w:szCs w:val="24"/>
          <w:lang w:val="en-US" w:eastAsia="zh-CN"/>
        </w:rPr>
        <w:t>2017       外壳防护等级  （IP代码）</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DL/T5</w:t>
      </w:r>
      <w:r>
        <w:rPr>
          <w:rFonts w:hint="eastAsia" w:ascii="宋体" w:hAnsi="宋体" w:eastAsia="宋体" w:cs="宋体"/>
          <w:sz w:val="24"/>
          <w:szCs w:val="24"/>
          <w:lang w:val="en-US" w:eastAsia="zh-CN"/>
        </w:rPr>
        <w:t xml:space="preserve">169.10-2017    电工电子产品着火危险试验  </w:t>
      </w:r>
    </w:p>
    <w:p>
      <w:pPr>
        <w:spacing w:line="360" w:lineRule="auto"/>
        <w:ind w:left="3594" w:leftChars="1140" w:hanging="1200" w:hangingChars="5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第10部分：灼热丝/热丝基本试验方法灼热丝装置和通用试验方法</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GB/T</w:t>
      </w:r>
      <w:r>
        <w:rPr>
          <w:rFonts w:hint="eastAsia" w:ascii="宋体" w:hAnsi="宋体" w:eastAsia="宋体" w:cs="宋体"/>
          <w:sz w:val="24"/>
          <w:szCs w:val="24"/>
          <w:lang w:val="en-US" w:eastAsia="zh-CN"/>
        </w:rPr>
        <w:t xml:space="preserve"> 5465           (所有部分)电气设备有箘形符号</w:t>
      </w:r>
    </w:p>
    <w:p>
      <w:pPr>
        <w:spacing w:line="360" w:lineRule="auto"/>
        <w:ind w:left="2400" w:hanging="2400" w:hangingChars="10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10963.1-2020   电气附件 家用及类似场所用过电流保护断路器  第1部分：用于交流的断路器</w:t>
      </w:r>
    </w:p>
    <w:p>
      <w:pPr>
        <w:spacing w:line="360" w:lineRule="auto"/>
        <w:ind w:left="2400" w:hanging="2400" w:hangingChars="1000"/>
        <w:rPr>
          <w:rFonts w:hint="eastAsia" w:ascii="宋体" w:hAnsi="宋体" w:eastAsia="宋体" w:cs="宋体"/>
          <w:sz w:val="24"/>
          <w:szCs w:val="24"/>
          <w:lang w:val="en-US" w:eastAsia="zh-CN"/>
        </w:rPr>
      </w:pPr>
      <w:r>
        <w:rPr>
          <w:rFonts w:hint="eastAsia" w:ascii="宋体" w:hAnsi="宋体" w:eastAsia="宋体" w:cs="宋体"/>
          <w:sz w:val="24"/>
          <w:szCs w:val="24"/>
        </w:rPr>
        <w:t>GB/T</w:t>
      </w:r>
      <w:r>
        <w:rPr>
          <w:rFonts w:hint="eastAsia" w:ascii="宋体" w:hAnsi="宋体" w:eastAsia="宋体" w:cs="宋体"/>
          <w:sz w:val="24"/>
          <w:szCs w:val="24"/>
          <w:lang w:val="en-US" w:eastAsia="zh-CN"/>
        </w:rPr>
        <w:t>16917.1-2014     家用和类似用途的带过电流保护的剩余电流动作断路器（RCBO）第1部分：一般规则</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16927.1-2011    高电压试验技术第1部分:一般定义及试验要求</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17626.2-2006    电磁兼容试验和测量技术静电放电抗扰度试验</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17626.3-2016    电磁兼容﹑试验和测量技术射频电磁场辐射抗扰度试验</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17626.4-2008    电磁兼容试验和测量技术电快速瞬变脉冲群抗扰度试验</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17626.5-2008    电磁兼容试验和测量技术浪涌（冲击）抗扰度试验</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17626.6-2017    电磁兼容试验和测量技术射频场感应的传导骚扰抗扰度</w:t>
      </w:r>
    </w:p>
    <w:p>
      <w:pPr>
        <w:spacing w:line="360" w:lineRule="auto"/>
        <w:ind w:left="2640" w:hanging="2640" w:hangingChars="1100"/>
        <w:rPr>
          <w:rFonts w:hint="eastAsia" w:ascii="宋体" w:hAnsi="宋体" w:eastAsia="宋体" w:cs="宋体"/>
          <w:spacing w:val="4"/>
          <w:sz w:val="24"/>
          <w:szCs w:val="24"/>
          <w:lang w:val="en-US" w:eastAsia="zh-CN"/>
        </w:rPr>
      </w:pPr>
      <w:r>
        <w:rPr>
          <w:rFonts w:hint="eastAsia" w:ascii="宋体" w:hAnsi="宋体" w:eastAsia="宋体" w:cs="宋体"/>
          <w:sz w:val="24"/>
          <w:szCs w:val="24"/>
          <w:lang w:val="en-US" w:eastAsia="zh-CN"/>
        </w:rPr>
        <w:t>GB/T 17626.11—2008</w:t>
      </w:r>
      <w:r>
        <w:rPr>
          <w:rFonts w:hint="eastAsia" w:eastAsia="宋体"/>
          <w:sz w:val="24"/>
          <w:szCs w:val="24"/>
          <w:lang w:val="en-US" w:eastAsia="zh-CN"/>
        </w:rPr>
        <w:t xml:space="preserve">  </w:t>
      </w:r>
      <w:r>
        <w:rPr>
          <w:rFonts w:hint="eastAsia" w:ascii="宋体" w:hAnsi="宋体" w:eastAsia="宋体" w:cs="宋体"/>
          <w:spacing w:val="4"/>
          <w:sz w:val="24"/>
          <w:szCs w:val="24"/>
          <w:lang w:val="en-US" w:eastAsia="zh-CN"/>
        </w:rPr>
        <w:t>电磁兼容试验和测量技术电压暂降、短时中断和电压变化的抗扰度试验</w:t>
      </w:r>
    </w:p>
    <w:p>
      <w:pPr>
        <w:spacing w:line="360" w:lineRule="auto"/>
        <w:ind w:left="2640" w:hanging="2728" w:hangingChars="1100"/>
        <w:rPr>
          <w:rFonts w:hint="eastAsia" w:ascii="宋体" w:hAnsi="宋体" w:eastAsia="宋体" w:cs="宋体"/>
          <w:spacing w:val="4"/>
          <w:sz w:val="24"/>
          <w:szCs w:val="24"/>
          <w:lang w:val="en-US" w:eastAsia="zh-CN"/>
        </w:rPr>
      </w:pPr>
    </w:p>
    <w:p>
      <w:pPr>
        <w:numPr>
          <w:ilvl w:val="0"/>
          <w:numId w:val="3"/>
        </w:numPr>
        <w:spacing w:before="70" w:line="360" w:lineRule="auto"/>
        <w:ind w:firstLine="89"/>
        <w:rPr>
          <w:rFonts w:hint="eastAsia" w:ascii="宋体" w:hAnsi="宋体" w:eastAsia="宋体" w:cs="宋体"/>
          <w:b/>
          <w:bCs/>
          <w:spacing w:val="5"/>
          <w:sz w:val="28"/>
          <w:szCs w:val="28"/>
          <w:lang w:val="en-US" w:eastAsia="zh-CN"/>
        </w:rPr>
      </w:pPr>
      <w:r>
        <w:rPr>
          <w:rFonts w:hint="eastAsia" w:ascii="宋体" w:hAnsi="宋体" w:eastAsia="宋体" w:cs="宋体"/>
          <w:b/>
          <w:bCs/>
          <w:spacing w:val="5"/>
          <w:sz w:val="28"/>
          <w:szCs w:val="28"/>
          <w:lang w:val="en-US" w:eastAsia="zh-CN"/>
        </w:rPr>
        <w:t>与国际、国外对比情况及本标准水平</w:t>
      </w:r>
    </w:p>
    <w:p>
      <w:pPr>
        <w:numPr>
          <w:ilvl w:val="0"/>
          <w:numId w:val="0"/>
        </w:numPr>
        <w:spacing w:before="70" w:line="360" w:lineRule="auto"/>
        <w:ind w:firstLine="580" w:firstLineChars="200"/>
        <w:rPr>
          <w:rFonts w:hint="eastAsia" w:ascii="宋体" w:hAnsi="宋体" w:eastAsia="宋体" w:cs="宋体"/>
          <w:b w:val="0"/>
          <w:bCs w:val="0"/>
          <w:spacing w:val="5"/>
          <w:sz w:val="28"/>
          <w:szCs w:val="28"/>
          <w:lang w:val="en-US" w:eastAsia="zh-CN"/>
        </w:rPr>
      </w:pPr>
      <w:r>
        <w:rPr>
          <w:rFonts w:hint="eastAsia" w:ascii="宋体" w:hAnsi="宋体" w:eastAsia="宋体" w:cs="宋体"/>
          <w:b w:val="0"/>
          <w:bCs w:val="0"/>
          <w:spacing w:val="5"/>
          <w:sz w:val="28"/>
          <w:szCs w:val="28"/>
          <w:lang w:val="en-US" w:eastAsia="zh-CN"/>
        </w:rPr>
        <w:t>本标准未采用国际标准；</w:t>
      </w:r>
    </w:p>
    <w:p>
      <w:pPr>
        <w:numPr>
          <w:ilvl w:val="0"/>
          <w:numId w:val="0"/>
        </w:numPr>
        <w:spacing w:before="70" w:line="360" w:lineRule="auto"/>
        <w:ind w:firstLine="580" w:firstLineChars="200"/>
        <w:rPr>
          <w:rFonts w:hint="eastAsia" w:ascii="宋体" w:hAnsi="宋体" w:eastAsia="宋体" w:cs="宋体"/>
          <w:b w:val="0"/>
          <w:bCs w:val="0"/>
          <w:spacing w:val="5"/>
          <w:sz w:val="28"/>
          <w:szCs w:val="28"/>
          <w:lang w:val="en-US" w:eastAsia="zh-CN"/>
        </w:rPr>
      </w:pPr>
      <w:r>
        <w:rPr>
          <w:rFonts w:hint="eastAsia" w:ascii="宋体" w:hAnsi="宋体" w:eastAsia="宋体" w:cs="宋体"/>
          <w:b w:val="0"/>
          <w:bCs w:val="0"/>
          <w:spacing w:val="5"/>
          <w:sz w:val="28"/>
          <w:szCs w:val="28"/>
          <w:lang w:val="en-US" w:eastAsia="zh-CN"/>
        </w:rPr>
        <w:t>本标准制定过程未查及同类国际、国内标准；</w:t>
      </w:r>
    </w:p>
    <w:p>
      <w:pPr>
        <w:numPr>
          <w:ilvl w:val="0"/>
          <w:numId w:val="0"/>
        </w:numPr>
        <w:spacing w:before="70" w:line="360" w:lineRule="auto"/>
        <w:ind w:firstLine="580" w:firstLineChars="200"/>
        <w:rPr>
          <w:rFonts w:hint="eastAsia" w:ascii="宋体" w:hAnsi="宋体" w:eastAsia="宋体" w:cs="宋体"/>
          <w:b w:val="0"/>
          <w:bCs w:val="0"/>
          <w:spacing w:val="5"/>
          <w:sz w:val="28"/>
          <w:szCs w:val="28"/>
          <w:lang w:val="en-US" w:eastAsia="zh-CN"/>
        </w:rPr>
      </w:pPr>
      <w:r>
        <w:rPr>
          <w:rFonts w:hint="eastAsia" w:ascii="宋体" w:hAnsi="宋体" w:eastAsia="宋体" w:cs="宋体"/>
          <w:b w:val="0"/>
          <w:bCs w:val="0"/>
          <w:spacing w:val="5"/>
          <w:sz w:val="28"/>
          <w:szCs w:val="28"/>
          <w:lang w:val="en-US" w:eastAsia="zh-CN"/>
        </w:rPr>
        <w:t>本标准水平为国内先进水平。</w:t>
      </w:r>
    </w:p>
    <w:p>
      <w:pPr>
        <w:numPr>
          <w:ilvl w:val="0"/>
          <w:numId w:val="0"/>
        </w:numPr>
        <w:spacing w:before="70" w:line="360" w:lineRule="auto"/>
        <w:ind w:firstLine="580" w:firstLineChars="200"/>
        <w:rPr>
          <w:rFonts w:hint="eastAsia" w:ascii="宋体" w:hAnsi="宋体" w:eastAsia="宋体" w:cs="宋体"/>
          <w:b w:val="0"/>
          <w:bCs w:val="0"/>
          <w:spacing w:val="5"/>
          <w:sz w:val="28"/>
          <w:szCs w:val="28"/>
          <w:lang w:val="en-US" w:eastAsia="zh-CN"/>
        </w:rPr>
      </w:pPr>
    </w:p>
    <w:p>
      <w:pPr>
        <w:numPr>
          <w:ilvl w:val="0"/>
          <w:numId w:val="3"/>
        </w:numPr>
        <w:spacing w:before="70" w:line="360" w:lineRule="auto"/>
        <w:ind w:left="0" w:leftChars="0" w:firstLine="89" w:firstLineChars="0"/>
        <w:rPr>
          <w:rFonts w:hint="eastAsia" w:ascii="宋体" w:hAnsi="宋体" w:eastAsia="宋体" w:cs="宋体"/>
          <w:b/>
          <w:bCs/>
          <w:spacing w:val="5"/>
          <w:sz w:val="28"/>
          <w:szCs w:val="28"/>
          <w:lang w:val="en-US" w:eastAsia="zh-CN"/>
        </w:rPr>
      </w:pPr>
      <w:r>
        <w:rPr>
          <w:rFonts w:hint="eastAsia" w:ascii="宋体" w:hAnsi="宋体" w:eastAsia="宋体" w:cs="宋体"/>
          <w:b/>
          <w:bCs/>
          <w:spacing w:val="5"/>
          <w:sz w:val="28"/>
          <w:szCs w:val="28"/>
          <w:lang w:val="en-US" w:eastAsia="zh-CN"/>
        </w:rPr>
        <w:t>贯彻实施标的要求及建议</w:t>
      </w:r>
    </w:p>
    <w:p>
      <w:pPr>
        <w:numPr>
          <w:ilvl w:val="0"/>
          <w:numId w:val="0"/>
        </w:numPr>
        <w:spacing w:before="70" w:line="360" w:lineRule="auto"/>
        <w:ind w:left="89" w:leftChars="0" w:firstLine="600"/>
        <w:rPr>
          <w:rFonts w:hint="eastAsia" w:ascii="宋体" w:hAnsi="宋体" w:eastAsia="宋体" w:cs="宋体"/>
          <w:b w:val="0"/>
          <w:bCs w:val="0"/>
          <w:spacing w:val="5"/>
          <w:sz w:val="28"/>
          <w:szCs w:val="28"/>
          <w:lang w:val="en-US" w:eastAsia="zh-CN"/>
        </w:rPr>
      </w:pPr>
      <w:r>
        <w:rPr>
          <w:rFonts w:hint="eastAsia" w:ascii="宋体" w:hAnsi="宋体" w:eastAsia="宋体" w:cs="宋体"/>
          <w:b w:val="0"/>
          <w:bCs w:val="0"/>
          <w:spacing w:val="5"/>
          <w:sz w:val="28"/>
          <w:szCs w:val="28"/>
          <w:lang w:val="en-US" w:eastAsia="zh-CN"/>
        </w:rPr>
        <w:t>建议本标准于2022年6月发布，2022年8月起实施。</w:t>
      </w:r>
    </w:p>
    <w:p>
      <w:pPr>
        <w:numPr>
          <w:ilvl w:val="0"/>
          <w:numId w:val="0"/>
        </w:numPr>
        <w:spacing w:before="70" w:line="360" w:lineRule="auto"/>
        <w:ind w:left="89" w:leftChars="0" w:firstLine="600"/>
        <w:rPr>
          <w:rFonts w:hint="eastAsia" w:ascii="宋体" w:hAnsi="宋体" w:eastAsia="宋体" w:cs="宋体"/>
          <w:b w:val="0"/>
          <w:bCs w:val="0"/>
          <w:spacing w:val="5"/>
          <w:sz w:val="28"/>
          <w:szCs w:val="28"/>
          <w:lang w:val="en-US" w:eastAsia="zh-CN"/>
        </w:rPr>
      </w:pPr>
    </w:p>
    <w:p>
      <w:pPr>
        <w:numPr>
          <w:ilvl w:val="0"/>
          <w:numId w:val="0"/>
        </w:numPr>
        <w:spacing w:before="70" w:line="360" w:lineRule="auto"/>
        <w:rPr>
          <w:rFonts w:hint="eastAsia" w:ascii="宋体" w:hAnsi="宋体" w:eastAsia="宋体" w:cs="宋体"/>
          <w:b/>
          <w:bCs/>
          <w:spacing w:val="5"/>
          <w:sz w:val="28"/>
          <w:szCs w:val="28"/>
          <w:lang w:val="en-US" w:eastAsia="zh-CN"/>
        </w:rPr>
      </w:pPr>
    </w:p>
    <w:p>
      <w:pPr>
        <w:numPr>
          <w:ilvl w:val="0"/>
          <w:numId w:val="0"/>
        </w:numPr>
        <w:kinsoku w:val="0"/>
        <w:autoSpaceDE w:val="0"/>
        <w:autoSpaceDN w:val="0"/>
        <w:adjustRightInd w:val="0"/>
        <w:snapToGrid w:val="0"/>
        <w:spacing w:before="70" w:line="360" w:lineRule="auto"/>
        <w:jc w:val="left"/>
        <w:textAlignment w:val="baseline"/>
        <w:rPr>
          <w:rFonts w:hint="default" w:ascii="宋体" w:hAnsi="宋体" w:eastAsia="宋体" w:cs="宋体"/>
          <w:b/>
          <w:bCs/>
          <w:spacing w:val="5"/>
          <w:sz w:val="28"/>
          <w:szCs w:val="28"/>
          <w:lang w:val="en-US" w:eastAsia="zh-CN"/>
        </w:rPr>
      </w:pPr>
    </w:p>
    <w:p>
      <w:pPr>
        <w:numPr>
          <w:ilvl w:val="0"/>
          <w:numId w:val="0"/>
        </w:numPr>
        <w:kinsoku w:val="0"/>
        <w:autoSpaceDE w:val="0"/>
        <w:autoSpaceDN w:val="0"/>
        <w:adjustRightInd w:val="0"/>
        <w:snapToGrid w:val="0"/>
        <w:spacing w:before="70" w:line="360" w:lineRule="auto"/>
        <w:jc w:val="left"/>
        <w:textAlignment w:val="baseline"/>
        <w:rPr>
          <w:rFonts w:hint="default" w:ascii="宋体" w:hAnsi="宋体" w:eastAsia="宋体" w:cs="宋体"/>
          <w:b/>
          <w:bCs/>
          <w:spacing w:val="5"/>
          <w:sz w:val="28"/>
          <w:szCs w:val="28"/>
          <w:lang w:val="en-US" w:eastAsia="zh-CN"/>
        </w:rPr>
      </w:pPr>
    </w:p>
    <w:p>
      <w:pPr>
        <w:numPr>
          <w:ilvl w:val="0"/>
          <w:numId w:val="0"/>
        </w:numPr>
        <w:kinsoku w:val="0"/>
        <w:autoSpaceDE w:val="0"/>
        <w:autoSpaceDN w:val="0"/>
        <w:adjustRightInd w:val="0"/>
        <w:snapToGrid w:val="0"/>
        <w:spacing w:before="70" w:line="360" w:lineRule="auto"/>
        <w:jc w:val="left"/>
        <w:textAlignment w:val="baseline"/>
        <w:rPr>
          <w:rFonts w:hint="default" w:ascii="宋体" w:hAnsi="宋体" w:eastAsia="宋体" w:cs="宋体"/>
          <w:b/>
          <w:bCs/>
          <w:spacing w:val="5"/>
          <w:sz w:val="28"/>
          <w:szCs w:val="28"/>
          <w:lang w:val="en-US" w:eastAsia="zh-CN"/>
        </w:rPr>
      </w:pPr>
    </w:p>
    <w:p>
      <w:pPr>
        <w:numPr>
          <w:ilvl w:val="0"/>
          <w:numId w:val="0"/>
        </w:numPr>
        <w:kinsoku w:val="0"/>
        <w:autoSpaceDE w:val="0"/>
        <w:autoSpaceDN w:val="0"/>
        <w:adjustRightInd w:val="0"/>
        <w:snapToGrid w:val="0"/>
        <w:spacing w:before="70" w:line="360" w:lineRule="auto"/>
        <w:jc w:val="left"/>
        <w:textAlignment w:val="baseline"/>
        <w:rPr>
          <w:rFonts w:hint="default" w:ascii="宋体" w:hAnsi="宋体" w:eastAsia="宋体" w:cs="宋体"/>
          <w:b/>
          <w:bCs/>
          <w:spacing w:val="5"/>
          <w:sz w:val="28"/>
          <w:szCs w:val="28"/>
          <w:lang w:val="en-US" w:eastAsia="zh-CN"/>
        </w:rPr>
      </w:pPr>
    </w:p>
    <w:p>
      <w:pPr>
        <w:numPr>
          <w:ilvl w:val="0"/>
          <w:numId w:val="0"/>
        </w:numPr>
        <w:kinsoku w:val="0"/>
        <w:autoSpaceDE w:val="0"/>
        <w:autoSpaceDN w:val="0"/>
        <w:adjustRightInd w:val="0"/>
        <w:snapToGrid w:val="0"/>
        <w:spacing w:before="70" w:line="360" w:lineRule="auto"/>
        <w:jc w:val="left"/>
        <w:textAlignment w:val="baseline"/>
        <w:rPr>
          <w:rFonts w:hint="default" w:ascii="宋体" w:hAnsi="宋体" w:eastAsia="宋体" w:cs="宋体"/>
          <w:b/>
          <w:bCs/>
          <w:spacing w:val="5"/>
          <w:sz w:val="28"/>
          <w:szCs w:val="28"/>
          <w:lang w:val="en-US" w:eastAsia="zh-CN"/>
        </w:rPr>
      </w:pPr>
    </w:p>
    <w:p>
      <w:pPr>
        <w:numPr>
          <w:ilvl w:val="0"/>
          <w:numId w:val="0"/>
        </w:numPr>
        <w:kinsoku w:val="0"/>
        <w:autoSpaceDE w:val="0"/>
        <w:autoSpaceDN w:val="0"/>
        <w:adjustRightInd w:val="0"/>
        <w:snapToGrid w:val="0"/>
        <w:spacing w:before="70" w:line="360" w:lineRule="auto"/>
        <w:jc w:val="left"/>
        <w:textAlignment w:val="baseline"/>
        <w:rPr>
          <w:rFonts w:hint="default" w:ascii="宋体" w:hAnsi="宋体" w:eastAsia="宋体" w:cs="宋体"/>
          <w:b/>
          <w:bCs/>
          <w:spacing w:val="5"/>
          <w:sz w:val="28"/>
          <w:szCs w:val="28"/>
          <w:lang w:val="en-US" w:eastAsia="zh-CN"/>
        </w:rPr>
      </w:pPr>
    </w:p>
    <w:p>
      <w:pPr>
        <w:numPr>
          <w:ilvl w:val="0"/>
          <w:numId w:val="0"/>
        </w:numPr>
        <w:kinsoku w:val="0"/>
        <w:autoSpaceDE w:val="0"/>
        <w:autoSpaceDN w:val="0"/>
        <w:adjustRightInd w:val="0"/>
        <w:snapToGrid w:val="0"/>
        <w:spacing w:before="70" w:line="360" w:lineRule="auto"/>
        <w:jc w:val="left"/>
        <w:textAlignment w:val="baseline"/>
        <w:rPr>
          <w:rFonts w:hint="eastAsia" w:ascii="宋体" w:hAnsi="宋体" w:eastAsia="宋体" w:cs="宋体"/>
          <w:b/>
          <w:bCs/>
          <w:spacing w:val="5"/>
          <w:sz w:val="28"/>
          <w:szCs w:val="28"/>
          <w:lang w:val="en-US" w:eastAsia="zh-CN"/>
        </w:rPr>
      </w:pPr>
      <w:r>
        <w:rPr>
          <w:rFonts w:hint="eastAsia" w:ascii="宋体" w:hAnsi="宋体" w:eastAsia="宋体" w:cs="宋体"/>
          <w:b/>
          <w:bCs/>
          <w:spacing w:val="5"/>
          <w:sz w:val="28"/>
          <w:szCs w:val="28"/>
          <w:lang w:val="en-US" w:eastAsia="zh-CN"/>
        </w:rPr>
        <w:t xml:space="preserve">                                   标准起草工作组</w:t>
      </w:r>
    </w:p>
    <w:p>
      <w:pPr>
        <w:numPr>
          <w:ilvl w:val="0"/>
          <w:numId w:val="0"/>
        </w:numPr>
        <w:kinsoku w:val="0"/>
        <w:autoSpaceDE w:val="0"/>
        <w:autoSpaceDN w:val="0"/>
        <w:adjustRightInd w:val="0"/>
        <w:snapToGrid w:val="0"/>
        <w:spacing w:before="70" w:line="360" w:lineRule="auto"/>
        <w:jc w:val="left"/>
        <w:textAlignment w:val="baseline"/>
        <w:rPr>
          <w:rFonts w:hint="default" w:ascii="宋体" w:hAnsi="宋体" w:eastAsia="宋体" w:cs="宋体"/>
          <w:b/>
          <w:bCs/>
          <w:spacing w:val="5"/>
          <w:sz w:val="28"/>
          <w:szCs w:val="28"/>
          <w:lang w:val="en-US" w:eastAsia="zh-CN"/>
        </w:rPr>
      </w:pPr>
      <w:r>
        <w:rPr>
          <w:rFonts w:hint="eastAsia" w:ascii="宋体" w:hAnsi="宋体" w:eastAsia="宋体" w:cs="宋体"/>
          <w:b/>
          <w:bCs/>
          <w:spacing w:val="5"/>
          <w:sz w:val="28"/>
          <w:szCs w:val="28"/>
          <w:lang w:val="en-US" w:eastAsia="zh-CN"/>
        </w:rPr>
        <w:t xml:space="preserve">                                    2022年5月15日</w:t>
      </w:r>
    </w:p>
    <w:p>
      <w:pPr>
        <w:spacing w:line="360" w:lineRule="auto"/>
        <w:rPr>
          <w:rFonts w:hint="eastAsia" w:ascii="宋体" w:hAnsi="宋体" w:eastAsia="宋体" w:cs="宋体"/>
          <w:spacing w:val="4"/>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EEE11"/>
    <w:multiLevelType w:val="singleLevel"/>
    <w:tmpl w:val="B88EEE11"/>
    <w:lvl w:ilvl="0" w:tentative="0">
      <w:start w:val="1"/>
      <w:numFmt w:val="chineseCounting"/>
      <w:suff w:val="nothing"/>
      <w:lvlText w:val="%1、"/>
      <w:lvlJc w:val="left"/>
      <w:rPr>
        <w:rFonts w:hint="eastAsia"/>
      </w:rPr>
    </w:lvl>
  </w:abstractNum>
  <w:abstractNum w:abstractNumId="1">
    <w:nsid w:val="E5602607"/>
    <w:multiLevelType w:val="singleLevel"/>
    <w:tmpl w:val="E5602607"/>
    <w:lvl w:ilvl="0" w:tentative="0">
      <w:start w:val="7"/>
      <w:numFmt w:val="chineseCounting"/>
      <w:suff w:val="nothing"/>
      <w:lvlText w:val="%1、"/>
      <w:lvlJc w:val="left"/>
      <w:rPr>
        <w:rFonts w:hint="eastAsia"/>
      </w:rPr>
    </w:lvl>
  </w:abstractNum>
  <w:abstractNum w:abstractNumId="2">
    <w:nsid w:val="5ABE351F"/>
    <w:multiLevelType w:val="singleLevel"/>
    <w:tmpl w:val="5ABE351F"/>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MzZkYTkxYzllYmIyOWU1YWQ0ZjE0YTc2ZTNkY2QifQ=="/>
  </w:docVars>
  <w:rsids>
    <w:rsidRoot w:val="00000000"/>
    <w:rsid w:val="054E09BE"/>
    <w:rsid w:val="094E5430"/>
    <w:rsid w:val="12191698"/>
    <w:rsid w:val="24294678"/>
    <w:rsid w:val="27935642"/>
    <w:rsid w:val="39E3734B"/>
    <w:rsid w:val="3CB52AF5"/>
    <w:rsid w:val="46D63D94"/>
    <w:rsid w:val="497F09AB"/>
    <w:rsid w:val="51D610EC"/>
    <w:rsid w:val="56B50DD2"/>
    <w:rsid w:val="5CD1707F"/>
    <w:rsid w:val="5E435D5B"/>
    <w:rsid w:val="6208709F"/>
    <w:rsid w:val="67AA6D70"/>
    <w:rsid w:val="6FAA79E8"/>
    <w:rsid w:val="71B132B0"/>
    <w:rsid w:val="767E3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2207</Words>
  <Characters>2486</Characters>
  <Lines>0</Lines>
  <Paragraphs>0</Paragraphs>
  <TotalTime>21</TotalTime>
  <ScaleCrop>false</ScaleCrop>
  <LinksUpToDate>false</LinksUpToDate>
  <CharactersWithSpaces>2658</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79885</dc:creator>
  <cp:lastModifiedBy>Lenovo</cp:lastModifiedBy>
  <dcterms:modified xsi:type="dcterms:W3CDTF">2022-08-25T08:45:09Z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36F73242457C42F6B30CF048439B13D3</vt:lpwstr>
  </property>
</Properties>
</file>