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F1F85">
      <w:pPr>
        <w:pStyle w:val="29"/>
        <w:spacing w:line="240" w:lineRule="auto"/>
        <w:jc w:val="center"/>
        <w:rPr>
          <w:rFonts w:hint="eastAsia" w:ascii="Times New Roman" w:hAnsi="Times New Roman" w:eastAsia="宋体" w:cs="Times New Roman"/>
          <w:color w:val="auto"/>
          <w:sz w:val="52"/>
          <w:szCs w:val="52"/>
        </w:rPr>
      </w:pPr>
    </w:p>
    <w:p w14:paraId="62681078">
      <w:pPr>
        <w:pStyle w:val="29"/>
        <w:spacing w:line="240" w:lineRule="auto"/>
        <w:jc w:val="center"/>
        <w:rPr>
          <w:rFonts w:hint="eastAsia" w:ascii="Times New Roman" w:hAnsi="Times New Roman" w:eastAsia="宋体" w:cs="Times New Roman"/>
          <w:color w:val="auto"/>
          <w:sz w:val="52"/>
          <w:szCs w:val="52"/>
        </w:rPr>
      </w:pPr>
    </w:p>
    <w:p w14:paraId="6F0358D7">
      <w:pPr>
        <w:pStyle w:val="29"/>
        <w:spacing w:line="240" w:lineRule="auto"/>
        <w:jc w:val="center"/>
        <w:rPr>
          <w:rFonts w:hint="eastAsia" w:ascii="Times New Roman" w:hAnsi="Times New Roman" w:eastAsia="宋体" w:cs="Times New Roman"/>
          <w:color w:val="auto"/>
          <w:sz w:val="52"/>
          <w:szCs w:val="52"/>
        </w:rPr>
      </w:pPr>
    </w:p>
    <w:p w14:paraId="32573BB2">
      <w:pPr>
        <w:pStyle w:val="29"/>
        <w:spacing w:line="240" w:lineRule="auto"/>
        <w:jc w:val="center"/>
        <w:rPr>
          <w:rFonts w:ascii="Times New Roman" w:hAnsi="Times New Roman" w:eastAsia="宋体" w:cs="Times New Roman"/>
          <w:color w:val="auto"/>
          <w:sz w:val="52"/>
          <w:szCs w:val="52"/>
        </w:rPr>
      </w:pPr>
      <w:r>
        <w:rPr>
          <w:rFonts w:hint="eastAsia" w:ascii="Times New Roman" w:hAnsi="Times New Roman" w:eastAsia="宋体" w:cs="Times New Roman"/>
          <w:color w:val="auto"/>
          <w:sz w:val="52"/>
          <w:szCs w:val="52"/>
          <w:lang w:eastAsia="zh-CN"/>
        </w:rPr>
        <w:t>《</w:t>
      </w:r>
      <w:r>
        <w:rPr>
          <w:rFonts w:hint="eastAsia" w:ascii="Times New Roman" w:hAnsi="Times New Roman" w:eastAsia="宋体" w:cs="Times New Roman"/>
          <w:color w:val="auto"/>
          <w:sz w:val="52"/>
          <w:szCs w:val="52"/>
        </w:rPr>
        <w:t>额定电压6kV（</w:t>
      </w:r>
      <w:r>
        <w:rPr>
          <w:rFonts w:hint="eastAsia" w:ascii="Times New Roman" w:hAnsi="Times New Roman" w:eastAsia="宋体" w:cs="Times New Roman"/>
          <w:i/>
          <w:iCs/>
          <w:color w:val="auto"/>
          <w:sz w:val="52"/>
          <w:szCs w:val="52"/>
        </w:rPr>
        <w:t>U</w:t>
      </w:r>
      <w:r>
        <w:rPr>
          <w:rFonts w:hint="eastAsia" w:ascii="Times New Roman" w:hAnsi="Times New Roman" w:eastAsia="宋体" w:cs="Times New Roman"/>
          <w:color w:val="auto"/>
          <w:sz w:val="52"/>
          <w:szCs w:val="52"/>
          <w:vertAlign w:val="subscript"/>
        </w:rPr>
        <w:t>m</w:t>
      </w:r>
      <w:r>
        <w:rPr>
          <w:rFonts w:hint="eastAsia" w:ascii="Times New Roman" w:hAnsi="Times New Roman" w:eastAsia="宋体" w:cs="Times New Roman"/>
          <w:color w:val="auto"/>
          <w:sz w:val="52"/>
          <w:szCs w:val="52"/>
        </w:rPr>
        <w:t>=7.2kV）到35kV（</w:t>
      </w:r>
      <w:r>
        <w:rPr>
          <w:rFonts w:hint="eastAsia" w:ascii="Times New Roman" w:hAnsi="Times New Roman" w:eastAsia="宋体" w:cs="Times New Roman"/>
          <w:i/>
          <w:iCs/>
          <w:color w:val="auto"/>
          <w:sz w:val="52"/>
          <w:szCs w:val="52"/>
        </w:rPr>
        <w:t>U</w:t>
      </w:r>
      <w:r>
        <w:rPr>
          <w:rFonts w:hint="eastAsia" w:ascii="Times New Roman" w:hAnsi="Times New Roman" w:eastAsia="宋体" w:cs="Times New Roman"/>
          <w:color w:val="auto"/>
          <w:sz w:val="52"/>
          <w:szCs w:val="52"/>
          <w:vertAlign w:val="subscript"/>
        </w:rPr>
        <w:t>m</w:t>
      </w:r>
      <w:r>
        <w:rPr>
          <w:rFonts w:hint="eastAsia" w:ascii="Times New Roman" w:hAnsi="Times New Roman" w:eastAsia="宋体" w:cs="Times New Roman"/>
          <w:color w:val="auto"/>
          <w:sz w:val="52"/>
          <w:szCs w:val="52"/>
        </w:rPr>
        <w:t>=40.5kV）交联聚乙烯绝缘</w:t>
      </w:r>
    </w:p>
    <w:p w14:paraId="637D8D72">
      <w:pPr>
        <w:pStyle w:val="29"/>
        <w:spacing w:line="240" w:lineRule="auto"/>
        <w:jc w:val="center"/>
        <w:rPr>
          <w:rFonts w:hint="eastAsia" w:ascii="Times New Roman" w:hAnsi="Times New Roman" w:eastAsia="宋体" w:cs="Times New Roman"/>
          <w:color w:val="auto"/>
          <w:sz w:val="52"/>
          <w:szCs w:val="52"/>
        </w:rPr>
      </w:pPr>
      <w:r>
        <w:rPr>
          <w:rFonts w:hint="eastAsia" w:ascii="Times New Roman" w:hAnsi="Times New Roman" w:eastAsia="宋体" w:cs="Times New Roman"/>
          <w:color w:val="auto"/>
          <w:sz w:val="52"/>
          <w:szCs w:val="52"/>
        </w:rPr>
        <w:t>电力电缆熔接头</w:t>
      </w:r>
      <w:r>
        <w:rPr>
          <w:rFonts w:hint="eastAsia" w:ascii="Times New Roman" w:hAnsi="Times New Roman" w:eastAsia="宋体" w:cs="Times New Roman"/>
          <w:color w:val="auto"/>
          <w:sz w:val="52"/>
          <w:szCs w:val="52"/>
          <w:lang w:eastAsia="zh-CN"/>
        </w:rPr>
        <w:t>》</w:t>
      </w:r>
    </w:p>
    <w:p w14:paraId="396F37E0">
      <w:pPr>
        <w:pStyle w:val="29"/>
        <w:spacing w:line="240" w:lineRule="auto"/>
        <w:jc w:val="center"/>
        <w:rPr>
          <w:rFonts w:hint="eastAsia" w:ascii="Times New Roman" w:hAnsi="Times New Roman" w:eastAsia="宋体" w:cs="Times New Roman"/>
          <w:color w:val="auto"/>
          <w:sz w:val="52"/>
          <w:szCs w:val="52"/>
        </w:rPr>
      </w:pPr>
    </w:p>
    <w:p w14:paraId="2511CF51">
      <w:pPr>
        <w:pStyle w:val="29"/>
        <w:spacing w:after="240" w:line="240" w:lineRule="auto"/>
        <w:jc w:val="center"/>
        <w:rPr>
          <w:rFonts w:ascii="Times New Roman" w:hAnsi="Times New Roman" w:eastAsia="宋体" w:cs="Times New Roman"/>
          <w:color w:val="auto"/>
          <w:sz w:val="32"/>
          <w:szCs w:val="32"/>
        </w:rPr>
      </w:pPr>
    </w:p>
    <w:p w14:paraId="618F0948">
      <w:pPr>
        <w:pStyle w:val="29"/>
        <w:spacing w:after="240" w:line="240" w:lineRule="auto"/>
        <w:jc w:val="center"/>
        <w:rPr>
          <w:rFonts w:ascii="Times New Roman" w:hAnsi="Times New Roman" w:eastAsia="宋体" w:cs="Times New Roman"/>
          <w:color w:val="auto"/>
          <w:sz w:val="32"/>
          <w:szCs w:val="32"/>
        </w:rPr>
      </w:pPr>
    </w:p>
    <w:p w14:paraId="3FD8F595">
      <w:pPr>
        <w:pStyle w:val="29"/>
        <w:spacing w:after="240" w:line="240" w:lineRule="auto"/>
        <w:jc w:val="center"/>
        <w:rPr>
          <w:rFonts w:ascii="Times New Roman" w:hAnsi="Times New Roman" w:eastAsia="宋体" w:cs="Times New Roman"/>
          <w:color w:val="auto"/>
          <w:sz w:val="32"/>
          <w:szCs w:val="32"/>
        </w:rPr>
      </w:pPr>
    </w:p>
    <w:p w14:paraId="043C7E1B">
      <w:pPr>
        <w:pStyle w:val="29"/>
        <w:spacing w:after="240" w:line="240" w:lineRule="auto"/>
        <w:jc w:val="center"/>
        <w:rPr>
          <w:rFonts w:ascii="Times New Roman" w:hAnsi="Times New Roman" w:eastAsia="宋体" w:cs="Times New Roman"/>
          <w:color w:val="auto"/>
          <w:sz w:val="32"/>
          <w:szCs w:val="32"/>
        </w:rPr>
      </w:pPr>
    </w:p>
    <w:p w14:paraId="2AB54704">
      <w:pPr>
        <w:pStyle w:val="29"/>
        <w:spacing w:after="240" w:line="240" w:lineRule="auto"/>
        <w:jc w:val="center"/>
        <w:rPr>
          <w:rFonts w:ascii="Times New Roman" w:hAnsi="Times New Roman" w:eastAsia="宋体" w:cs="Times New Roman"/>
          <w:color w:val="auto"/>
          <w:sz w:val="32"/>
          <w:szCs w:val="32"/>
        </w:rPr>
      </w:pPr>
    </w:p>
    <w:p w14:paraId="3C9ABFE5">
      <w:pPr>
        <w:pStyle w:val="35"/>
        <w:spacing w:after="247" w:line="666" w:lineRule="atLeast"/>
        <w:jc w:val="center"/>
        <w:rPr>
          <w:rFonts w:hint="eastAsia" w:ascii="Times New Roman" w:hAnsi="Times New Roman" w:eastAsia="宋体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/>
          <w:sz w:val="36"/>
          <w:szCs w:val="36"/>
          <w:lang w:val="en-US" w:eastAsia="zh-CN"/>
        </w:rPr>
        <w:t>编制说明</w:t>
      </w:r>
    </w:p>
    <w:p w14:paraId="59651FD9">
      <w:pPr>
        <w:pStyle w:val="29"/>
        <w:rPr>
          <w:rFonts w:hint="eastAsia" w:ascii="Times New Roman" w:hAnsi="Times New Roman" w:eastAsia="宋体"/>
          <w:sz w:val="36"/>
          <w:szCs w:val="36"/>
          <w:lang w:val="en-US" w:eastAsia="zh-CN"/>
        </w:rPr>
      </w:pPr>
    </w:p>
    <w:p w14:paraId="01A03111">
      <w:pPr>
        <w:pStyle w:val="29"/>
        <w:rPr>
          <w:rFonts w:hint="eastAsia" w:ascii="Times New Roman" w:hAnsi="Times New Roman" w:eastAsia="宋体"/>
          <w:sz w:val="36"/>
          <w:szCs w:val="36"/>
          <w:lang w:val="en-US" w:eastAsia="zh-CN"/>
        </w:rPr>
      </w:pPr>
    </w:p>
    <w:p w14:paraId="31EA78D5">
      <w:pPr>
        <w:pStyle w:val="29"/>
        <w:rPr>
          <w:rFonts w:hint="eastAsia" w:ascii="Times New Roman" w:hAnsi="Times New Roman" w:eastAsia="宋体"/>
          <w:sz w:val="36"/>
          <w:szCs w:val="36"/>
          <w:lang w:val="en-US" w:eastAsia="zh-CN"/>
        </w:rPr>
      </w:pPr>
    </w:p>
    <w:p w14:paraId="1A2EA273">
      <w:pPr>
        <w:pStyle w:val="29"/>
        <w:rPr>
          <w:rFonts w:hint="eastAsia" w:ascii="Times New Roman" w:hAnsi="Times New Roman" w:eastAsia="宋体"/>
          <w:sz w:val="36"/>
          <w:szCs w:val="36"/>
          <w:lang w:val="en-US" w:eastAsia="zh-CN"/>
        </w:rPr>
      </w:pPr>
    </w:p>
    <w:p w14:paraId="6677EBED">
      <w:pPr>
        <w:pStyle w:val="29"/>
        <w:rPr>
          <w:rFonts w:hint="eastAsia" w:ascii="Times New Roman" w:hAnsi="Times New Roman" w:eastAsia="宋体"/>
          <w:sz w:val="36"/>
          <w:szCs w:val="36"/>
          <w:lang w:val="en-US" w:eastAsia="zh-CN"/>
        </w:rPr>
      </w:pPr>
    </w:p>
    <w:p w14:paraId="7E84D7EB">
      <w:pPr>
        <w:pStyle w:val="29"/>
        <w:rPr>
          <w:rFonts w:hint="eastAsia" w:ascii="Times New Roman" w:hAnsi="Times New Roman" w:eastAsia="宋体"/>
          <w:sz w:val="36"/>
          <w:szCs w:val="36"/>
          <w:lang w:val="en-US" w:eastAsia="zh-CN"/>
        </w:rPr>
      </w:pPr>
    </w:p>
    <w:p w14:paraId="7F084CE0">
      <w:pPr>
        <w:pStyle w:val="29"/>
        <w:rPr>
          <w:rFonts w:hint="eastAsia" w:ascii="Times New Roman" w:hAnsi="Times New Roman" w:eastAsia="宋体"/>
          <w:sz w:val="36"/>
          <w:szCs w:val="36"/>
          <w:lang w:val="en-US" w:eastAsia="zh-CN"/>
        </w:rPr>
      </w:pPr>
    </w:p>
    <w:p w14:paraId="7E2C46C1">
      <w:pPr>
        <w:pStyle w:val="29"/>
        <w:jc w:val="center"/>
        <w:rPr>
          <w:rFonts w:hint="default" w:ascii="Times New Roman" w:hAnsi="Times New Roman" w:eastAsia="宋体"/>
          <w:sz w:val="36"/>
          <w:szCs w:val="36"/>
          <w:lang w:val="en-US" w:eastAsia="zh-CN"/>
        </w:rPr>
      </w:pPr>
      <w:r>
        <w:rPr>
          <w:rFonts w:hint="eastAsia" w:ascii="Times New Roman" w:hAnsi="Times New Roman" w:eastAsia="宋体"/>
          <w:sz w:val="36"/>
          <w:szCs w:val="36"/>
          <w:lang w:val="en-US" w:eastAsia="zh-CN"/>
        </w:rPr>
        <w:t>《额定电压6kV（Um=7.2kV）到35kV（Um=40.5kV）交联聚乙烯绝缘电力电缆熔接头》标准编制组</w:t>
      </w:r>
    </w:p>
    <w:p w14:paraId="4421A558">
      <w:pPr>
        <w:pStyle w:val="35"/>
        <w:spacing w:after="247" w:line="666" w:lineRule="atLeast"/>
        <w:jc w:val="center"/>
        <w:rPr>
          <w:rFonts w:hint="default" w:ascii="Times New Roman" w:hAnsi="Times New Roman" w:eastAsia="宋体"/>
          <w:sz w:val="36"/>
          <w:szCs w:val="36"/>
          <w:lang w:val="en-US" w:eastAsia="zh-CN"/>
        </w:rPr>
        <w:sectPr>
          <w:headerReference r:id="rId5" w:type="default"/>
          <w:footerReference r:id="rId6" w:type="default"/>
          <w:pgSz w:w="11905" w:h="17338"/>
          <w:pgMar w:top="1440" w:right="2125" w:bottom="1440" w:left="1800" w:header="720" w:footer="300" w:gutter="0"/>
          <w:cols w:space="720" w:num="1"/>
        </w:sectPr>
      </w:pPr>
      <w:r>
        <w:rPr>
          <w:rFonts w:hint="eastAsia" w:ascii="Times New Roman" w:hAnsi="Times New Roman" w:eastAsia="宋体"/>
          <w:sz w:val="36"/>
          <w:szCs w:val="36"/>
          <w:lang w:val="en-US" w:eastAsia="zh-CN"/>
        </w:rPr>
        <w:t>2023</w:t>
      </w:r>
      <w:bookmarkStart w:id="5" w:name="_GoBack"/>
      <w:bookmarkEnd w:id="5"/>
      <w:r>
        <w:rPr>
          <w:rFonts w:hint="eastAsia" w:ascii="Times New Roman" w:hAnsi="Times New Roman" w:eastAsia="宋体"/>
          <w:sz w:val="36"/>
          <w:szCs w:val="36"/>
          <w:lang w:val="en-US" w:eastAsia="zh-CN"/>
        </w:rPr>
        <w:t>年11月</w:t>
      </w:r>
    </w:p>
    <w:p w14:paraId="213FFEF1">
      <w:pPr>
        <w:ind w:firstLine="0" w:firstLineChars="0"/>
        <w:jc w:val="center"/>
      </w:pPr>
      <w:r>
        <w:rPr>
          <w:rFonts w:hint="eastAsia"/>
        </w:rPr>
        <w:t>目   次</w:t>
      </w:r>
    </w:p>
    <w:sdt>
      <w:sdtPr>
        <w:id w:val="147468933"/>
        <w:docPartObj>
          <w:docPartGallery w:val="Table of Contents"/>
          <w:docPartUnique/>
        </w:docPartObj>
      </w:sdtPr>
      <w:sdtEndPr>
        <w:rPr>
          <w:szCs w:val="18"/>
        </w:rPr>
      </w:sdtEndPr>
      <w:sdtContent>
        <w:p w14:paraId="45D16E49">
          <w:pPr>
            <w:spacing w:line="240" w:lineRule="auto"/>
            <w:ind w:firstLine="0" w:firstLineChars="0"/>
            <w:jc w:val="center"/>
          </w:pPr>
        </w:p>
        <w:p w14:paraId="06D8E378">
          <w:pPr>
            <w:pStyle w:val="12"/>
            <w:tabs>
              <w:tab w:val="right" w:leader="dot" w:pos="8305"/>
            </w:tabs>
          </w:pPr>
          <w:r>
            <w:rPr>
              <w:b/>
              <w:sz w:val="18"/>
              <w:szCs w:val="18"/>
            </w:rPr>
            <w:fldChar w:fldCharType="begin"/>
          </w:r>
          <w:r>
            <w:rPr>
              <w:b/>
              <w:sz w:val="18"/>
              <w:szCs w:val="18"/>
            </w:rPr>
            <w:instrText xml:space="preserve">TOC \o "1-3" \h \u </w:instrText>
          </w:r>
          <w:r>
            <w:rPr>
              <w:b/>
              <w:sz w:val="18"/>
              <w:szCs w:val="18"/>
            </w:rPr>
            <w:fldChar w:fldCharType="separate"/>
          </w:r>
          <w:r>
            <w:rPr>
              <w:szCs w:val="18"/>
            </w:rPr>
            <w:fldChar w:fldCharType="begin"/>
          </w:r>
          <w:r>
            <w:rPr>
              <w:szCs w:val="18"/>
            </w:rPr>
            <w:instrText xml:space="preserve"> HYPERLINK \l _Toc21831 </w:instrText>
          </w:r>
          <w:r>
            <w:rPr>
              <w:szCs w:val="18"/>
            </w:rPr>
            <w:fldChar w:fldCharType="separate"/>
          </w:r>
          <w:r>
            <w:rPr>
              <w:rFonts w:eastAsia="宋体"/>
            </w:rPr>
            <w:t xml:space="preserve">1 </w:t>
          </w:r>
          <w:r>
            <w:rPr>
              <w:rFonts w:hint="eastAsia" w:eastAsia="宋体"/>
              <w:lang w:val="en-US" w:eastAsia="zh-CN"/>
            </w:rPr>
            <w:t>编制背景</w:t>
          </w:r>
          <w:r>
            <w:tab/>
          </w:r>
          <w:r>
            <w:fldChar w:fldCharType="begin"/>
          </w:r>
          <w:r>
            <w:instrText xml:space="preserve"> PAGEREF _Toc21831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18"/>
            </w:rPr>
            <w:fldChar w:fldCharType="end"/>
          </w:r>
        </w:p>
        <w:p w14:paraId="271BDAF2">
          <w:pPr>
            <w:pStyle w:val="12"/>
            <w:tabs>
              <w:tab w:val="right" w:leader="dot" w:pos="8305"/>
            </w:tabs>
          </w:pPr>
          <w:r>
            <w:rPr>
              <w:szCs w:val="18"/>
            </w:rPr>
            <w:fldChar w:fldCharType="begin"/>
          </w:r>
          <w:r>
            <w:rPr>
              <w:szCs w:val="18"/>
            </w:rPr>
            <w:instrText xml:space="preserve"> HYPERLINK \l _Toc6773 </w:instrText>
          </w:r>
          <w:r>
            <w:rPr>
              <w:szCs w:val="18"/>
            </w:rPr>
            <w:fldChar w:fldCharType="separate"/>
          </w:r>
          <w:r>
            <w:rPr>
              <w:rFonts w:eastAsia="宋体"/>
            </w:rPr>
            <w:t xml:space="preserve">2 </w:t>
          </w:r>
          <w:r>
            <w:rPr>
              <w:rFonts w:hint="eastAsia" w:eastAsia="宋体"/>
              <w:lang w:val="en-US" w:eastAsia="zh-CN"/>
            </w:rPr>
            <w:t>编制主要原则</w:t>
          </w:r>
          <w:r>
            <w:tab/>
          </w:r>
          <w:r>
            <w:fldChar w:fldCharType="begin"/>
          </w:r>
          <w:r>
            <w:instrText xml:space="preserve"> PAGEREF _Toc6773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18"/>
            </w:rPr>
            <w:fldChar w:fldCharType="end"/>
          </w:r>
        </w:p>
        <w:p w14:paraId="6754CB8B">
          <w:pPr>
            <w:pStyle w:val="12"/>
            <w:tabs>
              <w:tab w:val="right" w:leader="dot" w:pos="8305"/>
            </w:tabs>
          </w:pPr>
          <w:r>
            <w:rPr>
              <w:szCs w:val="18"/>
            </w:rPr>
            <w:fldChar w:fldCharType="begin"/>
          </w:r>
          <w:r>
            <w:rPr>
              <w:szCs w:val="18"/>
            </w:rPr>
            <w:instrText xml:space="preserve"> HYPERLINK \l _Toc20365 </w:instrText>
          </w:r>
          <w:r>
            <w:rPr>
              <w:szCs w:val="18"/>
            </w:rPr>
            <w:fldChar w:fldCharType="separate"/>
          </w:r>
          <w:r>
            <w:rPr>
              <w:rFonts w:eastAsia="宋体"/>
            </w:rPr>
            <w:t xml:space="preserve">3 </w:t>
          </w:r>
          <w:r>
            <w:rPr>
              <w:rFonts w:hint="eastAsia" w:eastAsia="宋体"/>
              <w:lang w:val="en-US" w:eastAsia="zh-CN"/>
            </w:rPr>
            <w:t>与其他标准文件的关系</w:t>
          </w:r>
          <w:r>
            <w:tab/>
          </w:r>
          <w:r>
            <w:fldChar w:fldCharType="begin"/>
          </w:r>
          <w:r>
            <w:instrText xml:space="preserve"> PAGEREF _Toc20365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18"/>
            </w:rPr>
            <w:fldChar w:fldCharType="end"/>
          </w:r>
        </w:p>
        <w:p w14:paraId="511F7FE6">
          <w:pPr>
            <w:pStyle w:val="12"/>
            <w:tabs>
              <w:tab w:val="right" w:leader="dot" w:pos="8305"/>
            </w:tabs>
          </w:pPr>
          <w:r>
            <w:rPr>
              <w:szCs w:val="18"/>
            </w:rPr>
            <w:fldChar w:fldCharType="begin"/>
          </w:r>
          <w:r>
            <w:rPr>
              <w:szCs w:val="18"/>
            </w:rPr>
            <w:instrText xml:space="preserve"> HYPERLINK \l _Toc20877 </w:instrText>
          </w:r>
          <w:r>
            <w:rPr>
              <w:szCs w:val="18"/>
            </w:rPr>
            <w:fldChar w:fldCharType="separate"/>
          </w:r>
          <w:r>
            <w:rPr>
              <w:rFonts w:eastAsia="宋体"/>
            </w:rPr>
            <w:t xml:space="preserve">4 </w:t>
          </w:r>
          <w:r>
            <w:rPr>
              <w:rFonts w:hint="eastAsia" w:eastAsia="宋体"/>
              <w:lang w:val="en-US" w:eastAsia="zh-CN"/>
            </w:rPr>
            <w:t>主要工作过程</w:t>
          </w:r>
          <w:r>
            <w:tab/>
          </w:r>
          <w:r>
            <w:fldChar w:fldCharType="begin"/>
          </w:r>
          <w:r>
            <w:instrText xml:space="preserve"> PAGEREF _Toc20877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18"/>
            </w:rPr>
            <w:fldChar w:fldCharType="end"/>
          </w:r>
        </w:p>
        <w:p w14:paraId="5DDF4015">
          <w:pPr>
            <w:pStyle w:val="12"/>
            <w:tabs>
              <w:tab w:val="right" w:leader="dot" w:pos="8305"/>
            </w:tabs>
          </w:pPr>
          <w:r>
            <w:rPr>
              <w:szCs w:val="18"/>
            </w:rPr>
            <w:fldChar w:fldCharType="begin"/>
          </w:r>
          <w:r>
            <w:rPr>
              <w:szCs w:val="18"/>
            </w:rPr>
            <w:instrText xml:space="preserve"> HYPERLINK \l _Toc6688 </w:instrText>
          </w:r>
          <w:r>
            <w:rPr>
              <w:szCs w:val="18"/>
            </w:rPr>
            <w:fldChar w:fldCharType="separate"/>
          </w:r>
          <w:r>
            <w:rPr>
              <w:rFonts w:hint="eastAsia" w:eastAsia="宋体"/>
            </w:rPr>
            <w:t xml:space="preserve">5 </w:t>
          </w:r>
          <w:r>
            <w:rPr>
              <w:rFonts w:hint="eastAsia" w:eastAsia="宋体"/>
              <w:lang w:val="en-US" w:eastAsia="zh-CN"/>
            </w:rPr>
            <w:t>标准结构和内容</w:t>
          </w:r>
          <w:r>
            <w:tab/>
          </w:r>
          <w:r>
            <w:fldChar w:fldCharType="begin"/>
          </w:r>
          <w:r>
            <w:instrText xml:space="preserve"> PAGEREF _Toc6688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szCs w:val="18"/>
            </w:rPr>
            <w:fldChar w:fldCharType="end"/>
          </w:r>
        </w:p>
        <w:p w14:paraId="685332CC">
          <w:pPr>
            <w:ind w:firstLine="420"/>
            <w:jc w:val="left"/>
            <w:rPr>
              <w:b/>
              <w:sz w:val="18"/>
              <w:szCs w:val="18"/>
            </w:rPr>
          </w:pPr>
          <w:r>
            <w:rPr>
              <w:szCs w:val="18"/>
            </w:rPr>
            <w:fldChar w:fldCharType="end"/>
          </w:r>
        </w:p>
      </w:sdtContent>
    </w:sdt>
    <w:p w14:paraId="4BB2B0C9">
      <w:pPr>
        <w:ind w:firstLine="361"/>
        <w:jc w:val="left"/>
        <w:rPr>
          <w:b/>
          <w:sz w:val="18"/>
          <w:szCs w:val="18"/>
        </w:rPr>
      </w:pPr>
    </w:p>
    <w:p w14:paraId="7D231A2F">
      <w:pPr>
        <w:jc w:val="left"/>
        <w:rPr>
          <w:b/>
          <w:sz w:val="18"/>
          <w:szCs w:val="18"/>
        </w:rPr>
        <w:sectPr>
          <w:pgSz w:w="11905" w:h="17338"/>
          <w:pgMar w:top="1440" w:right="1800" w:bottom="1440" w:left="1800" w:header="720" w:footer="720" w:gutter="0"/>
          <w:cols w:space="720" w:num="1"/>
        </w:sectPr>
      </w:pPr>
    </w:p>
    <w:p w14:paraId="06D03CE1">
      <w:pPr>
        <w:pStyle w:val="2"/>
        <w:spacing w:before="240" w:after="240"/>
        <w:rPr>
          <w:rFonts w:hint="default" w:eastAsia="宋体"/>
          <w:lang w:val="en-US" w:eastAsia="zh-CN"/>
        </w:rPr>
      </w:pPr>
      <w:bookmarkStart w:id="0" w:name="_Toc21831"/>
      <w:r>
        <w:rPr>
          <w:rFonts w:eastAsia="宋体"/>
        </w:rPr>
        <w:t xml:space="preserve">1 </w:t>
      </w:r>
      <w:r>
        <w:rPr>
          <w:rFonts w:hint="eastAsia" w:eastAsia="宋体"/>
          <w:lang w:val="en-US" w:eastAsia="zh-CN"/>
        </w:rPr>
        <w:t>编制背景</w:t>
      </w:r>
      <w:bookmarkEnd w:id="0"/>
    </w:p>
    <w:p w14:paraId="3BE0A01F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~35kV交联聚乙烯绝缘电力电缆熔接式接头电应力变化和缓，接头主绝缘、电缆接头外径都与原电缆相近，防水防潮性能优，接头与电缆同寿命；且由于接头的外径与电缆相近，可制作在电缆弯曲的特殊位置。因此，6~35kV交联聚乙烯绝缘电力电缆熔接式接头性能具有一定的技术优势。</w:t>
      </w:r>
    </w:p>
    <w:p w14:paraId="6466124A"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我国独创的6~35kV交联聚乙烯绝缘电力电缆熔接头，制作技术独特，方便易行，具有自主知识产权，经过在湿度较大的我国南方地区多年应用，运行安全，得到广泛认可，促进了行业技术进步。</w:t>
      </w:r>
    </w:p>
    <w:p w14:paraId="69E0C5A5">
      <w:pPr>
        <w:ind w:firstLine="420"/>
        <w:rPr>
          <w:rFonts w:hint="default"/>
          <w:lang w:val="en-US"/>
        </w:rPr>
      </w:pPr>
      <w:r>
        <w:rPr>
          <w:rFonts w:hint="eastAsia"/>
          <w:lang w:val="en-US" w:eastAsia="zh-CN"/>
        </w:rPr>
        <w:t>目前，6~35kV交联聚乙烯绝缘电力电缆熔接头应用在加快。但是，由于没有统一的技术标准，企业按各自企标或规范制作接头，造成质量参差不齐，影响了电缆和电网的安全稳定运行。通过制订、宣贯、应用6~35kV交联聚乙烯绝缘电力电缆熔接头技术标准，可以弥补该领域技术标准的空缺，制作企业能更好的保证产品质量，用户在选择、监督制作企业时有标可依，更好的约束制作企业的行为，促进行业可持续健康发展。</w:t>
      </w:r>
    </w:p>
    <w:p w14:paraId="09FBABFF">
      <w:pPr>
        <w:pStyle w:val="2"/>
        <w:spacing w:before="240" w:after="240" w:line="360" w:lineRule="auto"/>
        <w:rPr>
          <w:rFonts w:hint="default" w:eastAsia="宋体"/>
          <w:lang w:val="en-US" w:eastAsia="zh-CN"/>
        </w:rPr>
      </w:pPr>
      <w:bookmarkStart w:id="1" w:name="_Toc6773"/>
      <w:r>
        <w:rPr>
          <w:rFonts w:eastAsia="宋体"/>
        </w:rPr>
        <w:t xml:space="preserve">2 </w:t>
      </w:r>
      <w:r>
        <w:rPr>
          <w:rFonts w:hint="eastAsia" w:eastAsia="宋体"/>
          <w:lang w:val="en-US" w:eastAsia="zh-CN"/>
        </w:rPr>
        <w:t>编制主要原则</w:t>
      </w:r>
      <w:bookmarkEnd w:id="1"/>
    </w:p>
    <w:p w14:paraId="5F69CAA4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 本标准的编制原则</w:t>
      </w:r>
    </w:p>
    <w:p w14:paraId="7E2D4EB9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2.1.1 以符合国家及地方相关法律、法规的规定为原则。</w:t>
      </w:r>
    </w:p>
    <w:p w14:paraId="6298065C"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2.1.2 以符合强制性国家标准为原则。</w:t>
      </w:r>
    </w:p>
    <w:p w14:paraId="0C0E65B7">
      <w:pPr>
        <w:pStyle w:val="2"/>
        <w:spacing w:before="240" w:after="240"/>
        <w:rPr>
          <w:rFonts w:hint="default" w:eastAsia="宋体"/>
          <w:lang w:val="en-US" w:eastAsia="zh-CN"/>
        </w:rPr>
      </w:pPr>
      <w:bookmarkStart w:id="2" w:name="_Toc20365"/>
      <w:r>
        <w:rPr>
          <w:rFonts w:eastAsia="宋体"/>
        </w:rPr>
        <w:t xml:space="preserve">3 </w:t>
      </w:r>
      <w:r>
        <w:rPr>
          <w:rFonts w:hint="eastAsia" w:eastAsia="宋体"/>
          <w:lang w:val="en-US" w:eastAsia="zh-CN"/>
        </w:rPr>
        <w:t>与其他标准文件的关系</w:t>
      </w:r>
      <w:bookmarkEnd w:id="2"/>
    </w:p>
    <w:p w14:paraId="3AFE544C">
      <w:pPr>
        <w:ind w:firstLine="435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目前，我国还没有6~35kV交联聚乙烯绝缘电力电缆熔接式接头的国家标准或行业标准。</w:t>
      </w:r>
      <w:r>
        <w:rPr>
          <w:rFonts w:hint="eastAsia"/>
          <w:lang w:eastAsia="zh-CN"/>
        </w:rPr>
        <w:t>“</w:t>
      </w:r>
      <w:r>
        <w:rPr>
          <w:rFonts w:hint="eastAsia"/>
          <w:lang w:val="en-US" w:eastAsia="zh-CN"/>
        </w:rPr>
        <w:t>GB/T 12706.4-2008 额定电压1kV(U</w:t>
      </w:r>
      <w:r>
        <w:rPr>
          <w:rFonts w:hint="eastAsia"/>
          <w:vertAlign w:val="subscript"/>
          <w:lang w:val="en-US" w:eastAsia="zh-CN"/>
        </w:rPr>
        <w:t>m</w:t>
      </w:r>
      <w:r>
        <w:rPr>
          <w:rFonts w:hint="eastAsia"/>
          <w:lang w:val="en-US" w:eastAsia="zh-CN"/>
        </w:rPr>
        <w:t>=1.2kV)到35kV(U</w:t>
      </w:r>
      <w:r>
        <w:rPr>
          <w:rFonts w:hint="eastAsia"/>
          <w:vertAlign w:val="subscript"/>
          <w:lang w:val="en-US" w:eastAsia="zh-CN"/>
        </w:rPr>
        <w:t>m</w:t>
      </w:r>
      <w:r>
        <w:rPr>
          <w:rFonts w:hint="eastAsia"/>
          <w:lang w:val="en-US" w:eastAsia="zh-CN"/>
        </w:rPr>
        <w:t>=40.5kV)挤包绝缘电力电缆及附件 第4部分：额定电压6kV(U</w:t>
      </w:r>
      <w:r>
        <w:rPr>
          <w:rFonts w:hint="eastAsia"/>
          <w:vertAlign w:val="subscript"/>
          <w:lang w:val="en-US" w:eastAsia="zh-CN"/>
        </w:rPr>
        <w:t>m</w:t>
      </w:r>
      <w:r>
        <w:rPr>
          <w:rFonts w:hint="eastAsia"/>
          <w:lang w:val="en-US" w:eastAsia="zh-CN"/>
        </w:rPr>
        <w:t>=7.2kV)到35kV(U</w:t>
      </w:r>
      <w:r>
        <w:rPr>
          <w:rFonts w:hint="eastAsia"/>
          <w:vertAlign w:val="subscript"/>
          <w:lang w:val="en-US" w:eastAsia="zh-CN"/>
        </w:rPr>
        <w:t>m</w:t>
      </w:r>
      <w:r>
        <w:rPr>
          <w:rFonts w:hint="eastAsia"/>
          <w:lang w:val="en-US" w:eastAsia="zh-CN"/>
        </w:rPr>
        <w:t>=40.5kV)电力电缆附件试验要求</w:t>
      </w:r>
      <w:r>
        <w:rPr>
          <w:rFonts w:hint="eastAsia"/>
          <w:lang w:eastAsia="zh-CN"/>
        </w:rPr>
        <w:t>”</w:t>
      </w:r>
      <w:r>
        <w:rPr>
          <w:rFonts w:hint="eastAsia"/>
          <w:lang w:val="en-US" w:eastAsia="zh-CN"/>
        </w:rPr>
        <w:t>是推荐标准，为试验要求。行标JB/T推荐标准规定了不同种类的接头，但没有熔接式接头的规定。</w:t>
      </w:r>
    </w:p>
    <w:p w14:paraId="7C7968FB">
      <w:pPr>
        <w:ind w:firstLine="43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本标准参考相关领域标准部分技术内容的基础上，结合目前生产和使用实际，做出差异化修订及完善。</w:t>
      </w:r>
    </w:p>
    <w:p w14:paraId="180B9A12">
      <w:pPr>
        <w:pStyle w:val="2"/>
        <w:spacing w:before="240" w:after="240"/>
        <w:rPr>
          <w:rFonts w:hint="default" w:eastAsia="宋体"/>
          <w:lang w:val="en-US" w:eastAsia="zh-CN"/>
        </w:rPr>
      </w:pPr>
      <w:bookmarkStart w:id="3" w:name="_Toc20877"/>
      <w:r>
        <w:rPr>
          <w:rFonts w:eastAsia="宋体"/>
        </w:rPr>
        <w:t xml:space="preserve">4 </w:t>
      </w:r>
      <w:r>
        <w:rPr>
          <w:rFonts w:hint="eastAsia" w:eastAsia="宋体"/>
          <w:lang w:val="en-US" w:eastAsia="zh-CN"/>
        </w:rPr>
        <w:t>主要工作过程</w:t>
      </w:r>
      <w:bookmarkEnd w:id="3"/>
    </w:p>
    <w:p w14:paraId="4EA7E1EA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2023年6-7月，南方电网广东电网有限责任公司电力科学研究院成立编制小组，开展调研工作，讨论确定标准编制内容及形成标准讨论稿，并向广东省电机工程学会申请标准立项；</w:t>
      </w:r>
    </w:p>
    <w:p w14:paraId="305641DD"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2023年8月，广东省电机工程学会下发立项获批通知，编制组组织召开讨论会，完成标准大纲、起草标准文件和编制说明，形成标准送审稿；</w:t>
      </w:r>
    </w:p>
    <w:p w14:paraId="1F21201A"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2023年12月至2024年1月，完成标准送审稿并面向社会征求意见。</w:t>
      </w:r>
    </w:p>
    <w:p w14:paraId="38AC2B22"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2024年1~7月，根据标准征求意见对标准内容进行修改完善。召开标准送审稿审查会，形成专家审查意见并按照意见进行修改完善，形成标准送审稿并报专委会。</w:t>
      </w:r>
    </w:p>
    <w:p w14:paraId="7EE94DE6">
      <w:pPr>
        <w:pStyle w:val="2"/>
        <w:spacing w:before="240" w:after="240"/>
        <w:rPr>
          <w:rFonts w:hint="default" w:eastAsia="宋体"/>
          <w:lang w:val="en-US" w:eastAsia="zh-CN"/>
        </w:rPr>
      </w:pPr>
      <w:bookmarkStart w:id="4" w:name="_Toc6688"/>
      <w:r>
        <w:rPr>
          <w:rFonts w:hint="eastAsia" w:eastAsia="宋体"/>
        </w:rPr>
        <w:t xml:space="preserve">5 </w:t>
      </w:r>
      <w:r>
        <w:rPr>
          <w:rFonts w:hint="eastAsia" w:eastAsia="宋体"/>
          <w:lang w:val="en-US" w:eastAsia="zh-CN"/>
        </w:rPr>
        <w:t>标准结构和内容</w:t>
      </w:r>
      <w:bookmarkEnd w:id="4"/>
    </w:p>
    <w:p w14:paraId="7FC1D071">
      <w:pPr>
        <w:ind w:firstLine="420"/>
        <w:rPr>
          <w:rFonts w:hint="default"/>
          <w:lang w:val="en-US"/>
        </w:rPr>
      </w:pPr>
      <w:r>
        <w:rPr>
          <w:rFonts w:hint="eastAsia"/>
          <w:lang w:val="en-US" w:eastAsia="zh-CN"/>
        </w:rPr>
        <w:t>本标准共分为九个章节，分别是：范围、规范性引用文件、术语和定义、使用特性、产品的型号和表示方法、技术要求、试验、检验验收规则、包装、运输及贮存。</w:t>
      </w:r>
    </w:p>
    <w:p w14:paraId="30CC041B">
      <w:pPr>
        <w:ind w:firstLine="480"/>
        <w:jc w:val="left"/>
        <w:rPr>
          <w:color w:val="FF0000"/>
          <w:sz w:val="24"/>
          <w:szCs w:val="24"/>
        </w:rPr>
      </w:pPr>
    </w:p>
    <w:sectPr>
      <w:headerReference r:id="rId7" w:type="default"/>
      <w:footerReference r:id="rId8" w:type="default"/>
      <w:pgSz w:w="11905" w:h="17338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1B34A">
    <w:pPr>
      <w:pStyle w:val="10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B9419">
                          <w:pPr>
                            <w:pStyle w:val="10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7B9419">
                    <w:pPr>
                      <w:pStyle w:val="10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1D988">
    <w:pPr>
      <w:pStyle w:val="10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8EC514">
                          <w:pPr>
                            <w:pStyle w:val="10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8EC514">
                    <w:pPr>
                      <w:pStyle w:val="10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060F9">
    <w:pPr>
      <w:pStyle w:val="11"/>
      <w:ind w:firstLine="360"/>
      <w:jc w:val="right"/>
      <w:rPr>
        <w:rFonts w:hint="default" w:eastAsia="宋体"/>
        <w:lang w:val="en-US" w:eastAsia="zh-CN"/>
      </w:rPr>
    </w:pPr>
    <w:r>
      <w:rPr>
        <w:szCs w:val="21"/>
      </w:rPr>
      <w:t>T/</w:t>
    </w:r>
    <w:r>
      <w:rPr>
        <w:rFonts w:hint="eastAsia"/>
        <w:szCs w:val="21"/>
      </w:rPr>
      <w:t>G</w:t>
    </w:r>
    <w:r>
      <w:rPr>
        <w:szCs w:val="21"/>
      </w:rPr>
      <w:t xml:space="preserve">SEE </w:t>
    </w:r>
    <w:r>
      <w:rPr>
        <w:rFonts w:hint="eastAsia"/>
        <w:szCs w:val="21"/>
        <w:lang w:val="en-US" w:eastAsia="zh-CN"/>
      </w:rPr>
      <w:t>14</w:t>
    </w:r>
    <w:r>
      <w:rPr>
        <w:szCs w:val="21"/>
      </w:rPr>
      <w:t>-</w:t>
    </w:r>
    <w:r>
      <w:rPr>
        <w:rFonts w:hint="eastAsia"/>
        <w:szCs w:val="21"/>
        <w:lang w:val="en-US" w:eastAsia="zh-CN"/>
      </w:rPr>
      <w:t>2024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3C51F">
    <w:pPr>
      <w:pStyle w:val="11"/>
      <w:ind w:firstLine="360"/>
      <w:jc w:val="right"/>
      <w:rPr>
        <w:rFonts w:hint="default" w:eastAsia="宋体"/>
        <w:lang w:val="en-US" w:eastAsia="zh-CN"/>
      </w:rPr>
    </w:pPr>
    <w:r>
      <w:rPr>
        <w:szCs w:val="21"/>
      </w:rPr>
      <w:t>T/</w:t>
    </w:r>
    <w:r>
      <w:rPr>
        <w:rFonts w:hint="eastAsia"/>
        <w:szCs w:val="21"/>
      </w:rPr>
      <w:t>G</w:t>
    </w:r>
    <w:r>
      <w:rPr>
        <w:szCs w:val="21"/>
      </w:rPr>
      <w:t xml:space="preserve">SEE </w:t>
    </w:r>
    <w:r>
      <w:rPr>
        <w:rFonts w:hint="eastAsia"/>
        <w:szCs w:val="21"/>
        <w:lang w:val="en-US" w:eastAsia="zh-CN"/>
      </w:rPr>
      <w:t>14-2024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586A78"/>
    <w:multiLevelType w:val="multilevel"/>
    <w:tmpl w:val="4D586A78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49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F56946"/>
    <w:rsid w:val="00004A99"/>
    <w:rsid w:val="00031124"/>
    <w:rsid w:val="00073200"/>
    <w:rsid w:val="000C0715"/>
    <w:rsid w:val="000E1F37"/>
    <w:rsid w:val="00112018"/>
    <w:rsid w:val="00120EF2"/>
    <w:rsid w:val="00120F16"/>
    <w:rsid w:val="0012649B"/>
    <w:rsid w:val="00130F24"/>
    <w:rsid w:val="001516D6"/>
    <w:rsid w:val="0018452D"/>
    <w:rsid w:val="001D1325"/>
    <w:rsid w:val="001D6AA2"/>
    <w:rsid w:val="00221DAD"/>
    <w:rsid w:val="00251C3B"/>
    <w:rsid w:val="00272C56"/>
    <w:rsid w:val="002831A2"/>
    <w:rsid w:val="002B3A07"/>
    <w:rsid w:val="00345FB1"/>
    <w:rsid w:val="00364277"/>
    <w:rsid w:val="00371932"/>
    <w:rsid w:val="00373B51"/>
    <w:rsid w:val="00395751"/>
    <w:rsid w:val="003966E6"/>
    <w:rsid w:val="003C022B"/>
    <w:rsid w:val="003D6012"/>
    <w:rsid w:val="003D6209"/>
    <w:rsid w:val="003E7372"/>
    <w:rsid w:val="003F13D5"/>
    <w:rsid w:val="003F4CD6"/>
    <w:rsid w:val="003F7C83"/>
    <w:rsid w:val="00455D7C"/>
    <w:rsid w:val="00455F30"/>
    <w:rsid w:val="00464F71"/>
    <w:rsid w:val="00490430"/>
    <w:rsid w:val="0049212E"/>
    <w:rsid w:val="004C0E21"/>
    <w:rsid w:val="004C4B21"/>
    <w:rsid w:val="004E2069"/>
    <w:rsid w:val="00525981"/>
    <w:rsid w:val="005467C6"/>
    <w:rsid w:val="00561FB6"/>
    <w:rsid w:val="0059257B"/>
    <w:rsid w:val="005C6461"/>
    <w:rsid w:val="005E41C5"/>
    <w:rsid w:val="0062097F"/>
    <w:rsid w:val="00624B64"/>
    <w:rsid w:val="00661258"/>
    <w:rsid w:val="0066774B"/>
    <w:rsid w:val="006944D8"/>
    <w:rsid w:val="006A70AB"/>
    <w:rsid w:val="006E12ED"/>
    <w:rsid w:val="006E62D2"/>
    <w:rsid w:val="006F58B9"/>
    <w:rsid w:val="007209A2"/>
    <w:rsid w:val="00744000"/>
    <w:rsid w:val="00773CF8"/>
    <w:rsid w:val="007B0B7D"/>
    <w:rsid w:val="007C3ED5"/>
    <w:rsid w:val="007C4491"/>
    <w:rsid w:val="007E6A2F"/>
    <w:rsid w:val="007F3A39"/>
    <w:rsid w:val="00813D2E"/>
    <w:rsid w:val="008262F3"/>
    <w:rsid w:val="0082668A"/>
    <w:rsid w:val="008573A6"/>
    <w:rsid w:val="00876F7A"/>
    <w:rsid w:val="00885FFB"/>
    <w:rsid w:val="008A51EB"/>
    <w:rsid w:val="008B1C26"/>
    <w:rsid w:val="008B7846"/>
    <w:rsid w:val="008C7051"/>
    <w:rsid w:val="008D2CC1"/>
    <w:rsid w:val="008D3D62"/>
    <w:rsid w:val="00915B01"/>
    <w:rsid w:val="00977A24"/>
    <w:rsid w:val="009869B6"/>
    <w:rsid w:val="009B2FF3"/>
    <w:rsid w:val="009C58D6"/>
    <w:rsid w:val="009D179F"/>
    <w:rsid w:val="009E31CA"/>
    <w:rsid w:val="00A178E2"/>
    <w:rsid w:val="00A407D7"/>
    <w:rsid w:val="00A45DBE"/>
    <w:rsid w:val="00A6442F"/>
    <w:rsid w:val="00A7192F"/>
    <w:rsid w:val="00A7713A"/>
    <w:rsid w:val="00A8089A"/>
    <w:rsid w:val="00A93600"/>
    <w:rsid w:val="00A94DC0"/>
    <w:rsid w:val="00A96868"/>
    <w:rsid w:val="00AC2F5C"/>
    <w:rsid w:val="00AC3D79"/>
    <w:rsid w:val="00AC6E6A"/>
    <w:rsid w:val="00AD1012"/>
    <w:rsid w:val="00AE3016"/>
    <w:rsid w:val="00B42D31"/>
    <w:rsid w:val="00B514EA"/>
    <w:rsid w:val="00B60322"/>
    <w:rsid w:val="00B86AFF"/>
    <w:rsid w:val="00BA7D50"/>
    <w:rsid w:val="00BE2FA1"/>
    <w:rsid w:val="00C31E60"/>
    <w:rsid w:val="00C565C9"/>
    <w:rsid w:val="00CA5441"/>
    <w:rsid w:val="00CB14B8"/>
    <w:rsid w:val="00CC4CA7"/>
    <w:rsid w:val="00CD7D0B"/>
    <w:rsid w:val="00D115DD"/>
    <w:rsid w:val="00D23D7F"/>
    <w:rsid w:val="00D5111D"/>
    <w:rsid w:val="00D51289"/>
    <w:rsid w:val="00D70045"/>
    <w:rsid w:val="00DB21C5"/>
    <w:rsid w:val="00DB7524"/>
    <w:rsid w:val="00DD2B58"/>
    <w:rsid w:val="00DF5DFA"/>
    <w:rsid w:val="00DF6E36"/>
    <w:rsid w:val="00E00F74"/>
    <w:rsid w:val="00E0397C"/>
    <w:rsid w:val="00E45FAD"/>
    <w:rsid w:val="00E52E85"/>
    <w:rsid w:val="00E713BB"/>
    <w:rsid w:val="00E8056C"/>
    <w:rsid w:val="00EA5EF0"/>
    <w:rsid w:val="00EB6298"/>
    <w:rsid w:val="00ED1315"/>
    <w:rsid w:val="00EE2DD1"/>
    <w:rsid w:val="00EE33C5"/>
    <w:rsid w:val="00F56946"/>
    <w:rsid w:val="00F60ED0"/>
    <w:rsid w:val="00FA321D"/>
    <w:rsid w:val="00FA4B27"/>
    <w:rsid w:val="00FB2130"/>
    <w:rsid w:val="00FD28EC"/>
    <w:rsid w:val="00FD326A"/>
    <w:rsid w:val="00FD375C"/>
    <w:rsid w:val="01241F7D"/>
    <w:rsid w:val="01317915"/>
    <w:rsid w:val="01405EC0"/>
    <w:rsid w:val="01B3616A"/>
    <w:rsid w:val="02560C68"/>
    <w:rsid w:val="03094AAC"/>
    <w:rsid w:val="032D3A42"/>
    <w:rsid w:val="033925D6"/>
    <w:rsid w:val="03486F52"/>
    <w:rsid w:val="039C63ED"/>
    <w:rsid w:val="044A79A7"/>
    <w:rsid w:val="045D7BF6"/>
    <w:rsid w:val="04845678"/>
    <w:rsid w:val="04B11640"/>
    <w:rsid w:val="04C6368B"/>
    <w:rsid w:val="055A40E9"/>
    <w:rsid w:val="05BB0688"/>
    <w:rsid w:val="05DB04BF"/>
    <w:rsid w:val="062B7ACB"/>
    <w:rsid w:val="064C1F34"/>
    <w:rsid w:val="069070E2"/>
    <w:rsid w:val="06D91C19"/>
    <w:rsid w:val="07CA1688"/>
    <w:rsid w:val="081D6456"/>
    <w:rsid w:val="08AA698E"/>
    <w:rsid w:val="091F62CB"/>
    <w:rsid w:val="092F512F"/>
    <w:rsid w:val="095F08BE"/>
    <w:rsid w:val="097C5E26"/>
    <w:rsid w:val="0988265E"/>
    <w:rsid w:val="09994E22"/>
    <w:rsid w:val="0A04273A"/>
    <w:rsid w:val="0A1D2D96"/>
    <w:rsid w:val="0A47234D"/>
    <w:rsid w:val="0A6E1714"/>
    <w:rsid w:val="0AAB257B"/>
    <w:rsid w:val="0B291F29"/>
    <w:rsid w:val="0B4A72BD"/>
    <w:rsid w:val="0C8F5A18"/>
    <w:rsid w:val="0CB35CD6"/>
    <w:rsid w:val="0CF31801"/>
    <w:rsid w:val="0D3D63AE"/>
    <w:rsid w:val="0D444B80"/>
    <w:rsid w:val="0D6F7924"/>
    <w:rsid w:val="0DAC3F39"/>
    <w:rsid w:val="0E2317F9"/>
    <w:rsid w:val="0E5A35B3"/>
    <w:rsid w:val="0EAC1A3E"/>
    <w:rsid w:val="0EE61FFF"/>
    <w:rsid w:val="0EEE58D9"/>
    <w:rsid w:val="0F1E3784"/>
    <w:rsid w:val="0F6222BD"/>
    <w:rsid w:val="0F76288C"/>
    <w:rsid w:val="0F906488"/>
    <w:rsid w:val="0FDF74EB"/>
    <w:rsid w:val="10670BB2"/>
    <w:rsid w:val="10846EAA"/>
    <w:rsid w:val="109C4279"/>
    <w:rsid w:val="10FE0EF6"/>
    <w:rsid w:val="113218B8"/>
    <w:rsid w:val="115565F6"/>
    <w:rsid w:val="11B76D84"/>
    <w:rsid w:val="11E54338"/>
    <w:rsid w:val="11FD7A23"/>
    <w:rsid w:val="122C62CF"/>
    <w:rsid w:val="123801C2"/>
    <w:rsid w:val="123D3F24"/>
    <w:rsid w:val="128C2EFB"/>
    <w:rsid w:val="12993F08"/>
    <w:rsid w:val="12D20F43"/>
    <w:rsid w:val="13052C8D"/>
    <w:rsid w:val="133D41F1"/>
    <w:rsid w:val="13862D7C"/>
    <w:rsid w:val="13D448C8"/>
    <w:rsid w:val="13DF6DFA"/>
    <w:rsid w:val="141F416A"/>
    <w:rsid w:val="14200F71"/>
    <w:rsid w:val="14230848"/>
    <w:rsid w:val="14613F12"/>
    <w:rsid w:val="14804336"/>
    <w:rsid w:val="1482123E"/>
    <w:rsid w:val="14AC43F9"/>
    <w:rsid w:val="14DE7FC5"/>
    <w:rsid w:val="152F10DD"/>
    <w:rsid w:val="157B75AD"/>
    <w:rsid w:val="15A00F13"/>
    <w:rsid w:val="160863A3"/>
    <w:rsid w:val="16442742"/>
    <w:rsid w:val="164755D2"/>
    <w:rsid w:val="16985FCC"/>
    <w:rsid w:val="16B01469"/>
    <w:rsid w:val="16DF5388"/>
    <w:rsid w:val="171F098A"/>
    <w:rsid w:val="175B086C"/>
    <w:rsid w:val="17602DAA"/>
    <w:rsid w:val="178A1409"/>
    <w:rsid w:val="17916966"/>
    <w:rsid w:val="17A21E6D"/>
    <w:rsid w:val="18246303"/>
    <w:rsid w:val="18981B2A"/>
    <w:rsid w:val="18E67F19"/>
    <w:rsid w:val="194C08D3"/>
    <w:rsid w:val="197B113B"/>
    <w:rsid w:val="19BD7D18"/>
    <w:rsid w:val="19CE059A"/>
    <w:rsid w:val="1A445924"/>
    <w:rsid w:val="1A460E27"/>
    <w:rsid w:val="1A4D5637"/>
    <w:rsid w:val="1A834B30"/>
    <w:rsid w:val="1ABD328E"/>
    <w:rsid w:val="1B045D8E"/>
    <w:rsid w:val="1B193AF0"/>
    <w:rsid w:val="1B501F41"/>
    <w:rsid w:val="1B95363D"/>
    <w:rsid w:val="1BC82E58"/>
    <w:rsid w:val="1C3A5626"/>
    <w:rsid w:val="1C5A1E2C"/>
    <w:rsid w:val="1C751A02"/>
    <w:rsid w:val="1CB77006"/>
    <w:rsid w:val="1CFB0C3C"/>
    <w:rsid w:val="1D023868"/>
    <w:rsid w:val="1D3F7112"/>
    <w:rsid w:val="1D4571D1"/>
    <w:rsid w:val="1D750BE5"/>
    <w:rsid w:val="1E54070A"/>
    <w:rsid w:val="1E58568F"/>
    <w:rsid w:val="1EFD1D6A"/>
    <w:rsid w:val="1F574332"/>
    <w:rsid w:val="1F65467F"/>
    <w:rsid w:val="1FCE6108"/>
    <w:rsid w:val="207F5CD6"/>
    <w:rsid w:val="20AB7F9F"/>
    <w:rsid w:val="20C467B7"/>
    <w:rsid w:val="20C805DB"/>
    <w:rsid w:val="20CB30B5"/>
    <w:rsid w:val="20CF580E"/>
    <w:rsid w:val="20E30711"/>
    <w:rsid w:val="20F20098"/>
    <w:rsid w:val="21010446"/>
    <w:rsid w:val="214A28A4"/>
    <w:rsid w:val="215D0623"/>
    <w:rsid w:val="21E7548E"/>
    <w:rsid w:val="226F1FF4"/>
    <w:rsid w:val="229451CA"/>
    <w:rsid w:val="22B15ABB"/>
    <w:rsid w:val="23704FAE"/>
    <w:rsid w:val="23782C3F"/>
    <w:rsid w:val="238544E7"/>
    <w:rsid w:val="23D876BB"/>
    <w:rsid w:val="23EE7F66"/>
    <w:rsid w:val="24156D18"/>
    <w:rsid w:val="24371FF7"/>
    <w:rsid w:val="246C7805"/>
    <w:rsid w:val="249E4E9B"/>
    <w:rsid w:val="24AB32B7"/>
    <w:rsid w:val="24B3305C"/>
    <w:rsid w:val="253070A7"/>
    <w:rsid w:val="256B511F"/>
    <w:rsid w:val="26653370"/>
    <w:rsid w:val="26A10E77"/>
    <w:rsid w:val="26C879CF"/>
    <w:rsid w:val="270D194C"/>
    <w:rsid w:val="27F564E5"/>
    <w:rsid w:val="288205D5"/>
    <w:rsid w:val="28A258E4"/>
    <w:rsid w:val="29131E53"/>
    <w:rsid w:val="298411AC"/>
    <w:rsid w:val="298F114F"/>
    <w:rsid w:val="2A7F44B2"/>
    <w:rsid w:val="2A8E48DF"/>
    <w:rsid w:val="2B0C0157"/>
    <w:rsid w:val="2B3C2A77"/>
    <w:rsid w:val="2B6120F9"/>
    <w:rsid w:val="2B680113"/>
    <w:rsid w:val="2B9A59EF"/>
    <w:rsid w:val="2BB67E93"/>
    <w:rsid w:val="2BBF2F83"/>
    <w:rsid w:val="2C01536D"/>
    <w:rsid w:val="2C795707"/>
    <w:rsid w:val="2D1F486A"/>
    <w:rsid w:val="2D4E09A5"/>
    <w:rsid w:val="2D6679CA"/>
    <w:rsid w:val="2D8E0DCA"/>
    <w:rsid w:val="2E671EE6"/>
    <w:rsid w:val="2E750BE6"/>
    <w:rsid w:val="2E7C5ECD"/>
    <w:rsid w:val="2ED20659"/>
    <w:rsid w:val="2ED44965"/>
    <w:rsid w:val="2F95085F"/>
    <w:rsid w:val="30527D1B"/>
    <w:rsid w:val="308D02C9"/>
    <w:rsid w:val="30C6276B"/>
    <w:rsid w:val="30EE420A"/>
    <w:rsid w:val="31437CF9"/>
    <w:rsid w:val="319B0B5C"/>
    <w:rsid w:val="31B12A10"/>
    <w:rsid w:val="31C70D31"/>
    <w:rsid w:val="31FC74CD"/>
    <w:rsid w:val="32236C10"/>
    <w:rsid w:val="327D0BE3"/>
    <w:rsid w:val="32963F93"/>
    <w:rsid w:val="32AE3F0C"/>
    <w:rsid w:val="32FC2C44"/>
    <w:rsid w:val="3425303E"/>
    <w:rsid w:val="348B4C3C"/>
    <w:rsid w:val="34D02805"/>
    <w:rsid w:val="3595505B"/>
    <w:rsid w:val="35CC033F"/>
    <w:rsid w:val="35EB1CFD"/>
    <w:rsid w:val="36007074"/>
    <w:rsid w:val="36810BE0"/>
    <w:rsid w:val="37296A11"/>
    <w:rsid w:val="37482E68"/>
    <w:rsid w:val="37A743EA"/>
    <w:rsid w:val="37BE6307"/>
    <w:rsid w:val="385B5BEC"/>
    <w:rsid w:val="38CC502E"/>
    <w:rsid w:val="38EC4992"/>
    <w:rsid w:val="392F21B8"/>
    <w:rsid w:val="394F0344"/>
    <w:rsid w:val="39B342BD"/>
    <w:rsid w:val="39DB74DE"/>
    <w:rsid w:val="3A053C5B"/>
    <w:rsid w:val="3A2B63D4"/>
    <w:rsid w:val="3ABD76AA"/>
    <w:rsid w:val="3AF66641"/>
    <w:rsid w:val="3B645059"/>
    <w:rsid w:val="3B754253"/>
    <w:rsid w:val="3B754335"/>
    <w:rsid w:val="3BEA6E45"/>
    <w:rsid w:val="3C9A5CBB"/>
    <w:rsid w:val="3CB23285"/>
    <w:rsid w:val="3CCF4082"/>
    <w:rsid w:val="3CEA65E0"/>
    <w:rsid w:val="3D0A16B0"/>
    <w:rsid w:val="3D301378"/>
    <w:rsid w:val="3D310A4B"/>
    <w:rsid w:val="3D6434FF"/>
    <w:rsid w:val="3D7D7BD4"/>
    <w:rsid w:val="3DD95B78"/>
    <w:rsid w:val="3E985BEE"/>
    <w:rsid w:val="3EEE3C3B"/>
    <w:rsid w:val="3F1035FE"/>
    <w:rsid w:val="3F565C4D"/>
    <w:rsid w:val="3FA1598C"/>
    <w:rsid w:val="40121572"/>
    <w:rsid w:val="407E70B6"/>
    <w:rsid w:val="40C4704C"/>
    <w:rsid w:val="40E7515A"/>
    <w:rsid w:val="41767D1C"/>
    <w:rsid w:val="418A596F"/>
    <w:rsid w:val="42204007"/>
    <w:rsid w:val="425A17AB"/>
    <w:rsid w:val="425D0C45"/>
    <w:rsid w:val="4291787A"/>
    <w:rsid w:val="433C12E3"/>
    <w:rsid w:val="435A402D"/>
    <w:rsid w:val="44110F59"/>
    <w:rsid w:val="44326468"/>
    <w:rsid w:val="448225D4"/>
    <w:rsid w:val="44C74A56"/>
    <w:rsid w:val="4564334C"/>
    <w:rsid w:val="464E0556"/>
    <w:rsid w:val="46973296"/>
    <w:rsid w:val="46B828DB"/>
    <w:rsid w:val="46E15A8D"/>
    <w:rsid w:val="46FD4F1F"/>
    <w:rsid w:val="47453FA5"/>
    <w:rsid w:val="47BB721E"/>
    <w:rsid w:val="47BC567F"/>
    <w:rsid w:val="48026DD8"/>
    <w:rsid w:val="48233EE8"/>
    <w:rsid w:val="484F4103"/>
    <w:rsid w:val="48C121A1"/>
    <w:rsid w:val="48E64868"/>
    <w:rsid w:val="49172627"/>
    <w:rsid w:val="495C2CEC"/>
    <w:rsid w:val="49760126"/>
    <w:rsid w:val="4A2A565D"/>
    <w:rsid w:val="4AD86C4F"/>
    <w:rsid w:val="4AF764A2"/>
    <w:rsid w:val="4B6B1584"/>
    <w:rsid w:val="4B904E89"/>
    <w:rsid w:val="4BBF68D2"/>
    <w:rsid w:val="4BCB2B40"/>
    <w:rsid w:val="4CB10B61"/>
    <w:rsid w:val="4D1623C6"/>
    <w:rsid w:val="4D802136"/>
    <w:rsid w:val="4DCC1B1D"/>
    <w:rsid w:val="4DF51134"/>
    <w:rsid w:val="4E1610F7"/>
    <w:rsid w:val="4E2A5A4A"/>
    <w:rsid w:val="4E652B29"/>
    <w:rsid w:val="4EBC345F"/>
    <w:rsid w:val="4F6750E0"/>
    <w:rsid w:val="4F875D47"/>
    <w:rsid w:val="4FB5411F"/>
    <w:rsid w:val="4FCF6A8F"/>
    <w:rsid w:val="4FCF7C75"/>
    <w:rsid w:val="500813C0"/>
    <w:rsid w:val="5045392E"/>
    <w:rsid w:val="50633979"/>
    <w:rsid w:val="50771254"/>
    <w:rsid w:val="50D01575"/>
    <w:rsid w:val="50F453A7"/>
    <w:rsid w:val="512D14C3"/>
    <w:rsid w:val="52033B71"/>
    <w:rsid w:val="52742B53"/>
    <w:rsid w:val="533C7A75"/>
    <w:rsid w:val="536324EB"/>
    <w:rsid w:val="53CC1EC9"/>
    <w:rsid w:val="53E73A83"/>
    <w:rsid w:val="546C7066"/>
    <w:rsid w:val="548B78BA"/>
    <w:rsid w:val="54F00CE8"/>
    <w:rsid w:val="557219EB"/>
    <w:rsid w:val="55B9209E"/>
    <w:rsid w:val="564E5711"/>
    <w:rsid w:val="568A69C3"/>
    <w:rsid w:val="56D754B8"/>
    <w:rsid w:val="571926B1"/>
    <w:rsid w:val="572069FE"/>
    <w:rsid w:val="57836966"/>
    <w:rsid w:val="57EA6BFE"/>
    <w:rsid w:val="57EC538B"/>
    <w:rsid w:val="58076FF3"/>
    <w:rsid w:val="58543C69"/>
    <w:rsid w:val="585A3283"/>
    <w:rsid w:val="59E03D5B"/>
    <w:rsid w:val="5A601E9A"/>
    <w:rsid w:val="5A84727A"/>
    <w:rsid w:val="5A9C0727"/>
    <w:rsid w:val="5A9E7A6E"/>
    <w:rsid w:val="5AD42692"/>
    <w:rsid w:val="5B09495D"/>
    <w:rsid w:val="5B177FDB"/>
    <w:rsid w:val="5B1A588A"/>
    <w:rsid w:val="5B560E35"/>
    <w:rsid w:val="5BC96872"/>
    <w:rsid w:val="5BEC34D9"/>
    <w:rsid w:val="5C5E4398"/>
    <w:rsid w:val="5C6A2042"/>
    <w:rsid w:val="5C807B13"/>
    <w:rsid w:val="5C875D79"/>
    <w:rsid w:val="5CD20B21"/>
    <w:rsid w:val="5CDE6ED5"/>
    <w:rsid w:val="5DB360AF"/>
    <w:rsid w:val="5E5525B7"/>
    <w:rsid w:val="5F166BBC"/>
    <w:rsid w:val="5F662849"/>
    <w:rsid w:val="5F7C6F5B"/>
    <w:rsid w:val="602B6DBC"/>
    <w:rsid w:val="60512B5B"/>
    <w:rsid w:val="60547209"/>
    <w:rsid w:val="608D0B4D"/>
    <w:rsid w:val="60FE2E1F"/>
    <w:rsid w:val="61493688"/>
    <w:rsid w:val="62340806"/>
    <w:rsid w:val="637713B1"/>
    <w:rsid w:val="637815C7"/>
    <w:rsid w:val="63E82281"/>
    <w:rsid w:val="6472709B"/>
    <w:rsid w:val="64B77E1D"/>
    <w:rsid w:val="64BB36D3"/>
    <w:rsid w:val="64C51621"/>
    <w:rsid w:val="64FD4EB5"/>
    <w:rsid w:val="6508170F"/>
    <w:rsid w:val="65341275"/>
    <w:rsid w:val="65587DD5"/>
    <w:rsid w:val="65707EE0"/>
    <w:rsid w:val="66067D9A"/>
    <w:rsid w:val="66714CD0"/>
    <w:rsid w:val="669F7661"/>
    <w:rsid w:val="66B05192"/>
    <w:rsid w:val="67647E56"/>
    <w:rsid w:val="67874F0A"/>
    <w:rsid w:val="67CF7802"/>
    <w:rsid w:val="689D06B6"/>
    <w:rsid w:val="68EE06A0"/>
    <w:rsid w:val="69297669"/>
    <w:rsid w:val="694A3C6F"/>
    <w:rsid w:val="695A5528"/>
    <w:rsid w:val="69680FFD"/>
    <w:rsid w:val="69C6375C"/>
    <w:rsid w:val="6A2F56DA"/>
    <w:rsid w:val="6A5C387E"/>
    <w:rsid w:val="6AF2223F"/>
    <w:rsid w:val="6BC13AB7"/>
    <w:rsid w:val="6C1A254B"/>
    <w:rsid w:val="6C27039E"/>
    <w:rsid w:val="6C791BAB"/>
    <w:rsid w:val="6CEC56A6"/>
    <w:rsid w:val="6D837F22"/>
    <w:rsid w:val="6D8A146D"/>
    <w:rsid w:val="6E106C44"/>
    <w:rsid w:val="6E396DE9"/>
    <w:rsid w:val="6E580E15"/>
    <w:rsid w:val="6E771638"/>
    <w:rsid w:val="6E904E1C"/>
    <w:rsid w:val="6F7607B2"/>
    <w:rsid w:val="6F822E81"/>
    <w:rsid w:val="6FA96731"/>
    <w:rsid w:val="6FB95470"/>
    <w:rsid w:val="6FDE7B62"/>
    <w:rsid w:val="6FE70CBE"/>
    <w:rsid w:val="6FF43487"/>
    <w:rsid w:val="70CD5D98"/>
    <w:rsid w:val="70F01C53"/>
    <w:rsid w:val="71143CF5"/>
    <w:rsid w:val="719E3EEA"/>
    <w:rsid w:val="71FC7C54"/>
    <w:rsid w:val="723942F4"/>
    <w:rsid w:val="72586F90"/>
    <w:rsid w:val="734234CD"/>
    <w:rsid w:val="73C70602"/>
    <w:rsid w:val="73EA2E5D"/>
    <w:rsid w:val="740E7F7F"/>
    <w:rsid w:val="74323B67"/>
    <w:rsid w:val="746B560C"/>
    <w:rsid w:val="746C1F94"/>
    <w:rsid w:val="74C541EC"/>
    <w:rsid w:val="74C96E59"/>
    <w:rsid w:val="74D80DB5"/>
    <w:rsid w:val="74DB71BF"/>
    <w:rsid w:val="74EC28AA"/>
    <w:rsid w:val="75961026"/>
    <w:rsid w:val="759E30F5"/>
    <w:rsid w:val="762922E2"/>
    <w:rsid w:val="76774B5F"/>
    <w:rsid w:val="76955843"/>
    <w:rsid w:val="76E91124"/>
    <w:rsid w:val="77211125"/>
    <w:rsid w:val="77D916A1"/>
    <w:rsid w:val="77E81DC4"/>
    <w:rsid w:val="77F321F3"/>
    <w:rsid w:val="784D2E54"/>
    <w:rsid w:val="78FF53D8"/>
    <w:rsid w:val="79923DC1"/>
    <w:rsid w:val="79987234"/>
    <w:rsid w:val="79C543DD"/>
    <w:rsid w:val="79EB4373"/>
    <w:rsid w:val="7A3A26B0"/>
    <w:rsid w:val="7AC34054"/>
    <w:rsid w:val="7B2B2B77"/>
    <w:rsid w:val="7B3274AA"/>
    <w:rsid w:val="7B3913C6"/>
    <w:rsid w:val="7B652948"/>
    <w:rsid w:val="7B8B2A8E"/>
    <w:rsid w:val="7C37003E"/>
    <w:rsid w:val="7C3D2AD3"/>
    <w:rsid w:val="7C452E9C"/>
    <w:rsid w:val="7CE817D0"/>
    <w:rsid w:val="7D9A2CAC"/>
    <w:rsid w:val="7DA85239"/>
    <w:rsid w:val="7DB7244E"/>
    <w:rsid w:val="7DC90921"/>
    <w:rsid w:val="7E671B61"/>
    <w:rsid w:val="7E6A5E48"/>
    <w:rsid w:val="7E963911"/>
    <w:rsid w:val="7ED11CEE"/>
    <w:rsid w:val="7EDB4139"/>
    <w:rsid w:val="7F633A0C"/>
    <w:rsid w:val="7F6C1280"/>
    <w:rsid w:val="7FA969AB"/>
    <w:rsid w:val="7FB33657"/>
    <w:rsid w:val="7FBA5A25"/>
    <w:rsid w:val="7FF8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qFormat="1" w:uiPriority="99" w:semiHidden="0" w:name="HTML Cite"/>
    <w:lsdException w:qFormat="1" w:uiPriority="99" w:semiHidden="0" w:name="HTML Code"/>
    <w:lsdException w:qFormat="1" w:uiPriority="99" w:semiHidden="0" w:name="HTML Definition"/>
    <w:lsdException w:qFormat="1" w:uiPriority="99" w:semiHidden="0" w:name="HTML Keyboard"/>
    <w:lsdException w:uiPriority="99" w:name="HTML Preformatted"/>
    <w:lsdException w:qFormat="1" w:uiPriority="99" w:semiHidden="0" w:name="HTML Sample"/>
    <w:lsdException w:uiPriority="99" w:name="HTML Typewriter"/>
    <w:lsdException w:qFormat="1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560" w:firstLineChars="2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51"/>
    <w:qFormat/>
    <w:uiPriority w:val="9"/>
    <w:pPr>
      <w:keepNext/>
      <w:keepLines/>
      <w:spacing w:before="100" w:beforeLines="100" w:after="100" w:afterLines="100" w:line="240" w:lineRule="auto"/>
      <w:ind w:firstLine="0" w:firstLineChars="0"/>
      <w:outlineLvl w:val="0"/>
    </w:pPr>
    <w:rPr>
      <w:rFonts w:eastAsia="黑体"/>
      <w:b/>
      <w:kern w:val="44"/>
    </w:rPr>
  </w:style>
  <w:style w:type="paragraph" w:styleId="3">
    <w:name w:val="heading 2"/>
    <w:basedOn w:val="1"/>
    <w:next w:val="1"/>
    <w:link w:val="52"/>
    <w:unhideWhenUsed/>
    <w:qFormat/>
    <w:uiPriority w:val="9"/>
    <w:pPr>
      <w:keepNext/>
      <w:keepLines/>
      <w:ind w:firstLine="0" w:firstLineChars="0"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ind w:firstLine="0" w:firstLineChars="0"/>
      <w:outlineLvl w:val="2"/>
    </w:pPr>
    <w:rPr>
      <w:b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kern w:val="0"/>
      <w:sz w:val="20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7">
    <w:name w:val="Body Text Indent"/>
    <w:basedOn w:val="1"/>
    <w:qFormat/>
    <w:uiPriority w:val="0"/>
    <w:pPr>
      <w:ind w:firstLine="420"/>
    </w:pPr>
  </w:style>
  <w:style w:type="paragraph" w:styleId="8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9">
    <w:name w:val="Balloon Text"/>
    <w:basedOn w:val="1"/>
    <w:link w:val="47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4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semiHidden/>
    <w:unhideWhenUsed/>
    <w:qFormat/>
    <w:uiPriority w:val="39"/>
  </w:style>
  <w:style w:type="paragraph" w:styleId="13">
    <w:name w:val="toc 2"/>
    <w:basedOn w:val="1"/>
    <w:next w:val="1"/>
    <w:semiHidden/>
    <w:unhideWhenUsed/>
    <w:qFormat/>
    <w:uiPriority w:val="39"/>
    <w:pPr>
      <w:ind w:left="420" w:leftChars="200"/>
    </w:pPr>
  </w:style>
  <w:style w:type="paragraph" w:styleId="14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table" w:styleId="16">
    <w:name w:val="Table Grid"/>
    <w:basedOn w:val="1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page number"/>
    <w:qFormat/>
    <w:uiPriority w:val="0"/>
    <w:rPr>
      <w:rFonts w:ascii="Times New Roman" w:hAnsi="Times New Roman" w:eastAsia="宋体"/>
      <w:sz w:val="18"/>
    </w:rPr>
  </w:style>
  <w:style w:type="character" w:styleId="20">
    <w:name w:val="FollowedHyperlink"/>
    <w:basedOn w:val="17"/>
    <w:unhideWhenUsed/>
    <w:qFormat/>
    <w:uiPriority w:val="99"/>
    <w:rPr>
      <w:color w:val="338DE6"/>
      <w:u w:val="none"/>
    </w:rPr>
  </w:style>
  <w:style w:type="character" w:styleId="21">
    <w:name w:val="Emphasis"/>
    <w:basedOn w:val="17"/>
    <w:qFormat/>
    <w:uiPriority w:val="20"/>
  </w:style>
  <w:style w:type="character" w:styleId="22">
    <w:name w:val="HTML Definition"/>
    <w:basedOn w:val="17"/>
    <w:unhideWhenUsed/>
    <w:qFormat/>
    <w:uiPriority w:val="99"/>
  </w:style>
  <w:style w:type="character" w:styleId="23">
    <w:name w:val="HTML Variable"/>
    <w:basedOn w:val="17"/>
    <w:unhideWhenUsed/>
    <w:qFormat/>
    <w:uiPriority w:val="99"/>
    <w:rPr>
      <w:rFonts w:ascii="Consolas" w:hAnsi="Consolas" w:eastAsia="Consolas" w:cs="Consolas"/>
      <w:sz w:val="16"/>
      <w:szCs w:val="16"/>
    </w:rPr>
  </w:style>
  <w:style w:type="character" w:styleId="24">
    <w:name w:val="Hyperlink"/>
    <w:basedOn w:val="17"/>
    <w:unhideWhenUsed/>
    <w:qFormat/>
    <w:uiPriority w:val="99"/>
    <w:rPr>
      <w:color w:val="338DE6"/>
      <w:u w:val="none"/>
    </w:rPr>
  </w:style>
  <w:style w:type="character" w:styleId="25">
    <w:name w:val="HTML Code"/>
    <w:basedOn w:val="17"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styleId="26">
    <w:name w:val="HTML Cite"/>
    <w:basedOn w:val="17"/>
    <w:unhideWhenUsed/>
    <w:qFormat/>
    <w:uiPriority w:val="99"/>
  </w:style>
  <w:style w:type="character" w:styleId="27">
    <w:name w:val="HTML Keyboard"/>
    <w:basedOn w:val="17"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styleId="28">
    <w:name w:val="HTML Sample"/>
    <w:basedOn w:val="17"/>
    <w:unhideWhenUsed/>
    <w:qFormat/>
    <w:uiPriority w:val="99"/>
    <w:rPr>
      <w:rFonts w:ascii="serif" w:hAnsi="serif" w:eastAsia="serif" w:cs="serif"/>
      <w:sz w:val="21"/>
      <w:szCs w:val="21"/>
    </w:rPr>
  </w:style>
  <w:style w:type="paragraph" w:customStyle="1" w:styleId="29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customStyle="1" w:styleId="30">
    <w:name w:val="CM1"/>
    <w:basedOn w:val="29"/>
    <w:next w:val="29"/>
    <w:qFormat/>
    <w:uiPriority w:val="99"/>
    <w:rPr>
      <w:rFonts w:cs="Times New Roman"/>
      <w:color w:val="auto"/>
    </w:rPr>
  </w:style>
  <w:style w:type="paragraph" w:customStyle="1" w:styleId="31">
    <w:name w:val="CM16"/>
    <w:basedOn w:val="29"/>
    <w:next w:val="29"/>
    <w:qFormat/>
    <w:uiPriority w:val="99"/>
    <w:rPr>
      <w:rFonts w:cs="Times New Roman"/>
      <w:color w:val="auto"/>
    </w:rPr>
  </w:style>
  <w:style w:type="paragraph" w:customStyle="1" w:styleId="32">
    <w:name w:val="CM17"/>
    <w:basedOn w:val="29"/>
    <w:next w:val="29"/>
    <w:qFormat/>
    <w:uiPriority w:val="99"/>
    <w:rPr>
      <w:rFonts w:cs="Times New Roman"/>
      <w:color w:val="auto"/>
    </w:rPr>
  </w:style>
  <w:style w:type="paragraph" w:customStyle="1" w:styleId="33">
    <w:name w:val="CM2"/>
    <w:basedOn w:val="29"/>
    <w:next w:val="29"/>
    <w:qFormat/>
    <w:uiPriority w:val="99"/>
    <w:pPr>
      <w:spacing w:line="623" w:lineRule="atLeast"/>
    </w:pPr>
    <w:rPr>
      <w:rFonts w:cs="Times New Roman"/>
      <w:color w:val="auto"/>
    </w:rPr>
  </w:style>
  <w:style w:type="paragraph" w:customStyle="1" w:styleId="34">
    <w:name w:val="CM3"/>
    <w:basedOn w:val="29"/>
    <w:next w:val="29"/>
    <w:qFormat/>
    <w:uiPriority w:val="99"/>
    <w:pPr>
      <w:spacing w:line="623" w:lineRule="atLeast"/>
    </w:pPr>
    <w:rPr>
      <w:rFonts w:cs="Times New Roman"/>
      <w:color w:val="auto"/>
    </w:rPr>
  </w:style>
  <w:style w:type="paragraph" w:customStyle="1" w:styleId="35">
    <w:name w:val="CM18"/>
    <w:basedOn w:val="29"/>
    <w:next w:val="29"/>
    <w:qFormat/>
    <w:uiPriority w:val="99"/>
    <w:rPr>
      <w:rFonts w:cs="Times New Roman"/>
      <w:color w:val="auto"/>
    </w:rPr>
  </w:style>
  <w:style w:type="paragraph" w:customStyle="1" w:styleId="36">
    <w:name w:val="CM4"/>
    <w:basedOn w:val="29"/>
    <w:next w:val="29"/>
    <w:qFormat/>
    <w:uiPriority w:val="99"/>
    <w:pPr>
      <w:spacing w:line="623" w:lineRule="atLeast"/>
    </w:pPr>
    <w:rPr>
      <w:rFonts w:cs="Times New Roman"/>
      <w:color w:val="auto"/>
    </w:rPr>
  </w:style>
  <w:style w:type="paragraph" w:customStyle="1" w:styleId="37">
    <w:name w:val="CM5"/>
    <w:basedOn w:val="29"/>
    <w:next w:val="29"/>
    <w:qFormat/>
    <w:uiPriority w:val="99"/>
    <w:pPr>
      <w:spacing w:line="671" w:lineRule="atLeast"/>
    </w:pPr>
    <w:rPr>
      <w:rFonts w:cs="Times New Roman"/>
      <w:color w:val="auto"/>
    </w:rPr>
  </w:style>
  <w:style w:type="paragraph" w:customStyle="1" w:styleId="38">
    <w:name w:val="CM6"/>
    <w:basedOn w:val="29"/>
    <w:next w:val="29"/>
    <w:qFormat/>
    <w:uiPriority w:val="99"/>
    <w:pPr>
      <w:spacing w:line="623" w:lineRule="atLeast"/>
    </w:pPr>
    <w:rPr>
      <w:rFonts w:cs="Times New Roman"/>
      <w:color w:val="auto"/>
    </w:rPr>
  </w:style>
  <w:style w:type="paragraph" w:customStyle="1" w:styleId="39">
    <w:name w:val="CM19"/>
    <w:basedOn w:val="29"/>
    <w:next w:val="29"/>
    <w:qFormat/>
    <w:uiPriority w:val="99"/>
    <w:rPr>
      <w:rFonts w:cs="Times New Roman"/>
      <w:color w:val="auto"/>
    </w:rPr>
  </w:style>
  <w:style w:type="paragraph" w:customStyle="1" w:styleId="40">
    <w:name w:val="CM7"/>
    <w:basedOn w:val="29"/>
    <w:next w:val="29"/>
    <w:qFormat/>
    <w:uiPriority w:val="99"/>
    <w:pPr>
      <w:spacing w:line="623" w:lineRule="atLeast"/>
    </w:pPr>
    <w:rPr>
      <w:rFonts w:cs="Times New Roman"/>
      <w:color w:val="auto"/>
    </w:rPr>
  </w:style>
  <w:style w:type="paragraph" w:customStyle="1" w:styleId="41">
    <w:name w:val="CM12"/>
    <w:basedOn w:val="29"/>
    <w:next w:val="29"/>
    <w:qFormat/>
    <w:uiPriority w:val="99"/>
    <w:pPr>
      <w:spacing w:line="623" w:lineRule="atLeast"/>
    </w:pPr>
    <w:rPr>
      <w:rFonts w:cs="Times New Roman"/>
      <w:color w:val="auto"/>
    </w:rPr>
  </w:style>
  <w:style w:type="paragraph" w:customStyle="1" w:styleId="42">
    <w:name w:val="CM13"/>
    <w:basedOn w:val="29"/>
    <w:next w:val="29"/>
    <w:qFormat/>
    <w:uiPriority w:val="99"/>
    <w:pPr>
      <w:spacing w:line="623" w:lineRule="atLeast"/>
    </w:pPr>
    <w:rPr>
      <w:rFonts w:cs="Times New Roman"/>
      <w:color w:val="auto"/>
    </w:rPr>
  </w:style>
  <w:style w:type="paragraph" w:customStyle="1" w:styleId="43">
    <w:name w:val="CM14"/>
    <w:basedOn w:val="29"/>
    <w:next w:val="29"/>
    <w:qFormat/>
    <w:uiPriority w:val="99"/>
    <w:pPr>
      <w:spacing w:line="623" w:lineRule="atLeast"/>
    </w:pPr>
    <w:rPr>
      <w:rFonts w:cs="Times New Roman"/>
      <w:color w:val="auto"/>
    </w:rPr>
  </w:style>
  <w:style w:type="paragraph" w:customStyle="1" w:styleId="44">
    <w:name w:val="CM15"/>
    <w:basedOn w:val="29"/>
    <w:next w:val="29"/>
    <w:qFormat/>
    <w:uiPriority w:val="99"/>
    <w:pPr>
      <w:spacing w:line="666" w:lineRule="atLeast"/>
    </w:pPr>
    <w:rPr>
      <w:rFonts w:cs="Times New Roman"/>
      <w:color w:val="auto"/>
    </w:rPr>
  </w:style>
  <w:style w:type="character" w:customStyle="1" w:styleId="45">
    <w:name w:val="页眉 字符"/>
    <w:basedOn w:val="17"/>
    <w:link w:val="11"/>
    <w:semiHidden/>
    <w:qFormat/>
    <w:uiPriority w:val="99"/>
    <w:rPr>
      <w:sz w:val="18"/>
      <w:szCs w:val="18"/>
    </w:rPr>
  </w:style>
  <w:style w:type="character" w:customStyle="1" w:styleId="46">
    <w:name w:val="页脚 字符"/>
    <w:basedOn w:val="17"/>
    <w:link w:val="10"/>
    <w:semiHidden/>
    <w:qFormat/>
    <w:uiPriority w:val="99"/>
    <w:rPr>
      <w:sz w:val="18"/>
      <w:szCs w:val="18"/>
    </w:rPr>
  </w:style>
  <w:style w:type="character" w:customStyle="1" w:styleId="47">
    <w:name w:val="批注框文本 字符"/>
    <w:basedOn w:val="17"/>
    <w:link w:val="9"/>
    <w:semiHidden/>
    <w:qFormat/>
    <w:uiPriority w:val="99"/>
    <w:rPr>
      <w:kern w:val="2"/>
      <w:sz w:val="18"/>
      <w:szCs w:val="18"/>
    </w:rPr>
  </w:style>
  <w:style w:type="paragraph" w:customStyle="1" w:styleId="48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49">
    <w:name w:val="章标题"/>
    <w:next w:val="48"/>
    <w:qFormat/>
    <w:uiPriority w:val="0"/>
    <w:pPr>
      <w:numPr>
        <w:ilvl w:val="1"/>
        <w:numId w:val="1"/>
      </w:num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50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character" w:customStyle="1" w:styleId="51">
    <w:name w:val="标题 1 字符"/>
    <w:link w:val="2"/>
    <w:qFormat/>
    <w:uiPriority w:val="0"/>
    <w:rPr>
      <w:rFonts w:eastAsia="黑体"/>
      <w:b/>
      <w:kern w:val="44"/>
      <w:sz w:val="21"/>
    </w:rPr>
  </w:style>
  <w:style w:type="character" w:customStyle="1" w:styleId="52">
    <w:name w:val="标题 2 字符"/>
    <w:link w:val="3"/>
    <w:qFormat/>
    <w:uiPriority w:val="0"/>
    <w:rPr>
      <w:rFonts w:ascii="Arial" w:hAnsi="Arial" w:eastAsia="黑体"/>
      <w:b/>
      <w:sz w:val="21"/>
    </w:rPr>
  </w:style>
  <w:style w:type="paragraph" w:customStyle="1" w:styleId="53">
    <w:name w:val="列出段落1"/>
    <w:basedOn w:val="1"/>
    <w:qFormat/>
    <w:uiPriority w:val="99"/>
    <w:pPr>
      <w:ind w:firstLine="420"/>
    </w:pPr>
  </w:style>
  <w:style w:type="paragraph" w:customStyle="1" w:styleId="54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55">
    <w:name w:val="s_txt25"/>
    <w:basedOn w:val="17"/>
    <w:qFormat/>
    <w:uiPriority w:val="0"/>
  </w:style>
  <w:style w:type="character" w:customStyle="1" w:styleId="56">
    <w:name w:val="fontborder"/>
    <w:basedOn w:val="17"/>
    <w:qFormat/>
    <w:uiPriority w:val="0"/>
    <w:rPr>
      <w:bdr w:val="single" w:color="000000" w:sz="4" w:space="0"/>
    </w:rPr>
  </w:style>
  <w:style w:type="character" w:customStyle="1" w:styleId="57">
    <w:name w:val="trumbowyg-msg-error"/>
    <w:basedOn w:val="17"/>
    <w:qFormat/>
    <w:uiPriority w:val="0"/>
    <w:rPr>
      <w:color w:val="E74C3C"/>
    </w:rPr>
  </w:style>
  <w:style w:type="character" w:customStyle="1" w:styleId="58">
    <w:name w:val="trumbowyg-msg-error1"/>
    <w:basedOn w:val="17"/>
    <w:qFormat/>
    <w:uiPriority w:val="0"/>
    <w:rPr>
      <w:color w:val="E74C3C"/>
    </w:rPr>
  </w:style>
  <w:style w:type="character" w:customStyle="1" w:styleId="59">
    <w:name w:val="fontstrikethrough"/>
    <w:basedOn w:val="17"/>
    <w:qFormat/>
    <w:uiPriority w:val="0"/>
    <w:rPr>
      <w:strike/>
    </w:rPr>
  </w:style>
  <w:style w:type="character" w:customStyle="1" w:styleId="60">
    <w:name w:val="one-lines"/>
    <w:basedOn w:val="17"/>
    <w:qFormat/>
    <w:uiPriority w:val="0"/>
  </w:style>
  <w:style w:type="character" w:customStyle="1" w:styleId="61">
    <w:name w:val="two-lines"/>
    <w:basedOn w:val="17"/>
    <w:qFormat/>
    <w:uiPriority w:val="0"/>
  </w:style>
  <w:style w:type="character" w:customStyle="1" w:styleId="62">
    <w:name w:val="hidden4"/>
    <w:basedOn w:val="17"/>
    <w:qFormat/>
    <w:uiPriority w:val="0"/>
    <w:rPr>
      <w:vanish/>
    </w:rPr>
  </w:style>
  <w:style w:type="paragraph" w:customStyle="1" w:styleId="6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自定义 红蓝绿">
      <a:dk1>
        <a:sysClr val="windowText" lastClr="000000"/>
      </a:dk1>
      <a:lt1>
        <a:sysClr val="window" lastClr="FFFFFF"/>
      </a:lt1>
      <a:dk2>
        <a:srgbClr val="E81514"/>
      </a:dk2>
      <a:lt2>
        <a:srgbClr val="DDDDDD"/>
      </a:lt2>
      <a:accent1>
        <a:srgbClr val="012C72"/>
      </a:accent1>
      <a:accent2>
        <a:srgbClr val="015BA4"/>
      </a:accent2>
      <a:accent3>
        <a:srgbClr val="051DA6"/>
      </a:accent3>
      <a:accent4>
        <a:srgbClr val="125C42"/>
      </a:accent4>
      <a:accent5>
        <a:srgbClr val="177B57"/>
      </a:accent5>
      <a:accent6>
        <a:srgbClr val="8EC6A1"/>
      </a:accent6>
      <a:hlink>
        <a:srgbClr val="E81514"/>
      </a:hlink>
      <a:folHlink>
        <a:srgbClr val="0563C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1061</Words>
  <Characters>1234</Characters>
  <Lines>57</Lines>
  <Paragraphs>16</Paragraphs>
  <TotalTime>0</TotalTime>
  <ScaleCrop>false</ScaleCrop>
  <LinksUpToDate>false</LinksUpToDate>
  <CharactersWithSpaces>1268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2019-06-21T03:59:00Z</dcterms:created>
  <dc:creator>Administrator</dc:creator>
  <cp:lastModifiedBy>Lenovo</cp:lastModifiedBy>
  <cp:lastPrinted>2022-08-25T01:20:00Z</cp:lastPrinted>
  <dcterms:modified xsi:type="dcterms:W3CDTF">2024-11-28T08:04:47Z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BE656EECD43049569CBACC26E5B9925B</vt:lpwstr>
  </property>
</Properties>
</file>