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14:paraId="287CB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764F98A7">
            <w:pPr>
              <w:pStyle w:val="18"/>
              <w:framePr w:wrap="notBeside" w:vAnchor="page" w:hAnchor="page" w:x="1372" w:y="568"/>
              <w:tabs>
                <w:tab w:val="clear" w:pos="4153"/>
                <w:tab w:val="clear" w:pos="8306"/>
              </w:tabs>
              <w:spacing w:line="240" w:lineRule="auto"/>
              <w:jc w:val="left"/>
              <w:rPr>
                <w:rFonts w:hint="eastAsia"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66A02372">
            <w:pPr>
              <w:pStyle w:val="18"/>
              <w:framePr w:wrap="notBeside" w:vAnchor="page" w:hAnchor="page" w:x="1372" w:y="568"/>
              <w:tabs>
                <w:tab w:val="clear" w:pos="4153"/>
                <w:tab w:val="clear" w:pos="8306"/>
              </w:tabs>
              <w:spacing w:line="240" w:lineRule="auto"/>
              <w:jc w:val="both"/>
              <w:rPr>
                <w:rFonts w:hint="default" w:ascii="黑体" w:hAnsi="黑体" w:eastAsia="黑体"/>
                <w:sz w:val="21"/>
                <w:szCs w:val="21"/>
                <w:lang w:val="en-US" w:eastAsia="zh-CN"/>
              </w:rPr>
            </w:pPr>
            <w:r>
              <w:rPr>
                <w:rFonts w:hint="eastAsia" w:ascii="黑体" w:hAnsi="黑体" w:eastAsia="黑体"/>
                <w:sz w:val="21"/>
                <w:szCs w:val="21"/>
                <w:lang w:val="en-US" w:eastAsia="zh-CN"/>
              </w:rPr>
              <w:t>29.060.20</w:t>
            </w:r>
          </w:p>
        </w:tc>
      </w:tr>
      <w:tr w14:paraId="1324E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52C908DA">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tbl>
            <w:tblPr>
              <w:tblStyle w:val="27"/>
              <w:tblpPr w:vertAnchor="page" w:horzAnchor="margin" w:tblpX="1" w:tblpY="341"/>
              <w:tblOverlap w:val="never"/>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113" w:type="dxa"/>
              </w:tblCellMar>
            </w:tblPr>
            <w:tblGrid>
              <w:gridCol w:w="8855"/>
            </w:tblGrid>
            <w:tr w14:paraId="1F2BC2E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113" w:type="dxa"/>
                </w:tblCellMar>
              </w:tblPrEx>
              <w:trPr>
                <w:trHeight w:val="1021" w:hRule="exact"/>
              </w:trPr>
              <w:tc>
                <w:tcPr>
                  <w:tcW w:w="9242" w:type="dxa"/>
                  <w:vAlign w:val="center"/>
                </w:tcPr>
                <w:p w14:paraId="05656DA3">
                  <w:pPr>
                    <w:pStyle w:val="50"/>
                    <w:framePr w:wrap="notBeside" w:vAnchor="page" w:hAnchor="page" w:x="1372" w:y="568"/>
                    <w:ind w:left="420" w:right="624"/>
                    <w:rPr>
                      <w:rFonts w:hint="eastAsia" w:ascii="宋体" w:hAnsi="宋体"/>
                      <w:sz w:val="28"/>
                      <w:szCs w:val="28"/>
                    </w:rPr>
                  </w:pPr>
                </w:p>
              </w:tc>
            </w:tr>
          </w:tbl>
          <w:p w14:paraId="6CE11D10">
            <w:pPr>
              <w:pStyle w:val="18"/>
              <w:framePr w:wrap="notBeside" w:vAnchor="page" w:hAnchor="page" w:x="1372" w:y="568"/>
              <w:tabs>
                <w:tab w:val="clear" w:pos="4153"/>
                <w:tab w:val="clear" w:pos="8306"/>
              </w:tabs>
              <w:spacing w:before="40" w:line="240" w:lineRule="auto"/>
              <w:jc w:val="left"/>
              <w:rPr>
                <w:rFonts w:hint="default" w:ascii="黑体" w:hAnsi="黑体" w:eastAsia="黑体"/>
                <w:sz w:val="21"/>
                <w:szCs w:val="21"/>
                <w:lang w:val="en-US" w:eastAsia="zh-CN"/>
              </w:rPr>
            </w:pPr>
            <w:r>
              <w:rPr>
                <w:rFonts w:hint="eastAsia" w:ascii="黑体" w:hAnsi="黑体" w:eastAsia="黑体"/>
                <w:sz w:val="21"/>
                <w:szCs w:val="21"/>
                <w:lang w:val="en-US" w:eastAsia="zh-CN"/>
              </w:rPr>
              <w:t>K13</w:t>
            </w:r>
          </w:p>
        </w:tc>
      </w:tr>
    </w:tbl>
    <w:p w14:paraId="09A7AD00">
      <w:pPr>
        <w:pStyle w:val="51"/>
        <w:framePr w:w="9639" w:h="1006" w:hRule="exact" w:hSpace="181" w:vSpace="181" w:wrap="around" w:vAnchor="page" w:hAnchor="page" w:x="1305" w:y="2269"/>
        <w:rPr>
          <w:rFonts w:hint="eastAsia" w:ascii="黑体" w:hAnsi="黑体" w:eastAsia="黑体"/>
          <w:b w:val="0"/>
          <w:bCs w:val="0"/>
          <w:w w:val="100"/>
          <w:sz w:val="56"/>
          <w:szCs w:val="56"/>
        </w:rPr>
      </w:pPr>
      <w:bookmarkStart w:id="0" w:name="_Hlk26473981"/>
      <w:r>
        <w:rPr>
          <w:rFonts w:hint="eastAsia" w:ascii="黑体" w:eastAsia="黑体"/>
          <w:b w:val="0"/>
          <w:w w:val="100"/>
          <w:sz w:val="96"/>
          <w:szCs w:val="32"/>
        </w:rPr>
        <w:t>团体</w:t>
      </w:r>
      <w:r>
        <w:rPr>
          <w:rFonts w:hint="eastAsia" w:ascii="黑体" w:hAnsi="黑体" w:eastAsia="黑体"/>
          <w:b w:val="0"/>
          <w:bCs w:val="0"/>
          <w:w w:val="100"/>
          <w:sz w:val="96"/>
          <w:szCs w:val="96"/>
        </w:rPr>
        <w:t>标准</w:t>
      </w:r>
    </w:p>
    <w:bookmarkEnd w:id="0"/>
    <w:p w14:paraId="00A49998">
      <w:pPr>
        <w:pStyle w:val="195"/>
        <w:framePr w:x="1648" w:y="3829"/>
        <w:rPr>
          <w:rFonts w:hint="default" w:eastAsia="黑体"/>
          <w:lang w:val="en-US" w:eastAsia="zh-CN"/>
        </w:rPr>
      </w:pPr>
      <w:r>
        <w:t>T/</w:t>
      </w:r>
      <w:r>
        <w:fldChar w:fldCharType="begin">
          <w:ffData>
            <w:name w:val="文字1"/>
            <w:enabled/>
            <w:calcOnExit w:val="0"/>
            <w:textInput>
              <w:default w:val="XXX"/>
            </w:textInput>
          </w:ffData>
        </w:fldChar>
      </w:r>
      <w:bookmarkStart w:id="1" w:name="文字1"/>
      <w:r>
        <w:instrText xml:space="preserve"> FORMTEXT </w:instrText>
      </w:r>
      <w:r>
        <w:fldChar w:fldCharType="separate"/>
      </w:r>
      <w:r>
        <w:rPr>
          <w:rFonts w:hint="eastAsia"/>
        </w:rPr>
        <w:t>GSEE</w:t>
      </w:r>
      <w:r>
        <w:fldChar w:fldCharType="end"/>
      </w:r>
      <w:bookmarkEnd w:id="1"/>
      <w:r>
        <w:t xml:space="preserve"> </w:t>
      </w:r>
      <w:r>
        <w:rPr>
          <w:rFonts w:hint="eastAsia"/>
          <w:lang w:val="en-US" w:eastAsia="zh-CN"/>
        </w:rPr>
        <w:t>XXX</w:t>
      </w:r>
      <w:r>
        <w:rPr>
          <w:rFonts w:hAnsi="黑体"/>
        </w:rPr>
        <w:t>—</w:t>
      </w:r>
      <w:r>
        <w:rPr>
          <w:rFonts w:hint="eastAsia"/>
          <w:lang w:val="en-US" w:eastAsia="zh-CN"/>
        </w:rPr>
        <w:t>XXX</w:t>
      </w:r>
    </w:p>
    <w:p w14:paraId="45A4FF5C">
      <w:pPr>
        <w:pStyle w:val="196"/>
        <w:framePr w:x="1648" w:y="3829"/>
        <w:rPr>
          <w:rFonts w:hint="eastAsia" w:hAnsi="黑体"/>
        </w:rPr>
      </w:pPr>
      <w:r>
        <w:rPr>
          <w:rFonts w:hAnsi="黑体"/>
        </w:rPr>
        <w:fldChar w:fldCharType="begin">
          <w:ffData>
            <w:name w:val="OSTD_CODE"/>
            <w:enabled/>
            <w:calcOnExit w:val="0"/>
            <w:textInput/>
          </w:ffData>
        </w:fldChar>
      </w:r>
      <w:bookmarkStart w:id="2"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2"/>
    </w:p>
    <w:p w14:paraId="65E54D87">
      <w:pPr>
        <w:spacing w:line="240" w:lineRule="auto"/>
        <w:rPr>
          <w:rFonts w:hint="eastAsia"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2666365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09.95pt;height:0pt;width:481.9pt;mso-position-horizontal-relative:page;mso-position-vertical-relative:page;z-index:251659264;mso-width-relative:page;mso-height-relative:page;" filled="f" stroked="t" coordsize="21600,21600" o:allowoverlap="f" o:gfxdata="UEsDBAoAAAAAAIdO4kAAAAAAAAAAAAAAAAAEAAAAZHJzL1BLAwQUAAAACACHTuJAru9H5tgAAAAM&#10;AQAADwAAAGRycy9kb3ducmV2LnhtbE2PzU7DMBCE70h9B2uRuFTUdmkrGuL0UMiNC6WI6zZekoh4&#10;ncbuDzw9roQEx9kZzXybr86uE0caQuvZgJ4oEMSVty3XBrav5e09iBCRLXaeycAXBVgVo6scM+tP&#10;/ELHTaxFKuGQoYEmxj6TMlQNOQwT3xMn78MPDmOSQy3tgKdU7jo5VWohHbacFhrsad1Q9bk5OAOh&#10;fKN9+T2uxur9rvY03T8+P6ExN9daPYCIdI5/YbjgJ3QoEtPOH9gG0SU90wk9Gpjp5RLEJaHVfAFi&#10;93uSRS7/P1H8AF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u70fm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28DC28EF">
      <w:pPr>
        <w:pStyle w:val="51"/>
        <w:framePr w:w="9639" w:h="6976" w:hRule="exact" w:hSpace="0" w:vSpace="0" w:wrap="around" w:hAnchor="page" w:y="6408"/>
        <w:jc w:val="center"/>
        <w:rPr>
          <w:rFonts w:hint="eastAsia" w:ascii="黑体" w:hAnsi="黑体" w:eastAsia="黑体"/>
          <w:b w:val="0"/>
          <w:bCs w:val="0"/>
          <w:w w:val="100"/>
        </w:rPr>
      </w:pPr>
    </w:p>
    <w:p w14:paraId="1981CBCD">
      <w:pPr>
        <w:pStyle w:val="197"/>
        <w:framePr w:h="6974" w:hRule="exact" w:wrap="around" w:x="1419" w:anchorLock="1"/>
      </w:pPr>
      <w:r>
        <w:rPr>
          <w:rFonts w:hint="eastAsia"/>
        </w:rPr>
        <w:t>额定电压6kV（</w:t>
      </w:r>
      <w:r>
        <w:rPr>
          <w:rFonts w:hint="eastAsia"/>
          <w:i/>
          <w:iCs/>
        </w:rPr>
        <w:t>U</w:t>
      </w:r>
      <w:r>
        <w:rPr>
          <w:rFonts w:hint="eastAsia"/>
          <w:vertAlign w:val="subscript"/>
        </w:rPr>
        <w:t>m</w:t>
      </w:r>
      <w:r>
        <w:rPr>
          <w:rFonts w:hint="eastAsia"/>
        </w:rPr>
        <w:t>=7.2kV）到35kV（</w:t>
      </w:r>
      <w:r>
        <w:rPr>
          <w:rFonts w:hint="eastAsia"/>
          <w:i/>
          <w:iCs/>
        </w:rPr>
        <w:t>U</w:t>
      </w:r>
      <w:r>
        <w:rPr>
          <w:rFonts w:hint="eastAsia"/>
          <w:vertAlign w:val="subscript"/>
        </w:rPr>
        <w:t>m</w:t>
      </w:r>
      <w:r>
        <w:rPr>
          <w:rFonts w:hint="eastAsia"/>
        </w:rPr>
        <w:t>=40.5kV）交联聚乙烯绝缘</w:t>
      </w:r>
    </w:p>
    <w:p w14:paraId="23743FC8">
      <w:pPr>
        <w:pStyle w:val="197"/>
        <w:framePr w:h="6974" w:hRule="exact" w:wrap="around" w:x="1419" w:anchorLock="1"/>
      </w:pPr>
      <w:r>
        <w:rPr>
          <w:rFonts w:hint="eastAsia"/>
        </w:rPr>
        <w:t>电力电缆熔接头</w:t>
      </w:r>
    </w:p>
    <w:p w14:paraId="211B1A17">
      <w:pPr>
        <w:pStyle w:val="197"/>
        <w:framePr w:h="6974" w:hRule="exact" w:wrap="around" w:x="1419" w:anchorLock="1"/>
        <w:jc w:val="both"/>
        <w:rPr>
          <w:rFonts w:hint="eastAsia"/>
        </w:rPr>
      </w:pPr>
    </w:p>
    <w:p w14:paraId="27C49FDA">
      <w:pPr>
        <w:framePr w:w="9639" w:h="6974" w:hRule="exact" w:wrap="around" w:vAnchor="page" w:hAnchor="page" w:x="1419" w:y="6408" w:anchorLock="1"/>
        <w:ind w:left="-1418"/>
      </w:pPr>
    </w:p>
    <w:p w14:paraId="52697B55">
      <w:pPr>
        <w:pStyle w:val="125"/>
        <w:framePr w:w="9639" w:h="6974" w:hRule="exact" w:wrap="around" w:vAnchor="page" w:hAnchor="page" w:x="1419" w:y="6408" w:anchorLock="1"/>
        <w:textAlignment w:val="bottom"/>
        <w:rPr>
          <w:rFonts w:eastAsia="黑体"/>
          <w:szCs w:val="28"/>
        </w:rPr>
      </w:pPr>
      <w:r>
        <w:rPr>
          <w:rFonts w:hint="eastAsia" w:eastAsia="黑体"/>
          <w:szCs w:val="28"/>
        </w:rPr>
        <w:t>Melted</w:t>
      </w:r>
      <w:r>
        <w:rPr>
          <w:rFonts w:eastAsia="黑体"/>
          <w:szCs w:val="28"/>
        </w:rPr>
        <w:t xml:space="preserve"> joint of cross-linked polyethylene insulated power cable for rated voltage from 6kV (</w:t>
      </w:r>
      <w:r>
        <w:rPr>
          <w:rFonts w:eastAsia="黑体"/>
          <w:i/>
          <w:iCs/>
          <w:szCs w:val="28"/>
        </w:rPr>
        <w:t>U</w:t>
      </w:r>
      <w:r>
        <w:rPr>
          <w:rFonts w:eastAsia="黑体"/>
          <w:szCs w:val="28"/>
          <w:vertAlign w:val="subscript"/>
        </w:rPr>
        <w:t>m</w:t>
      </w:r>
      <w:r>
        <w:rPr>
          <w:rFonts w:eastAsia="黑体"/>
          <w:szCs w:val="28"/>
        </w:rPr>
        <w:t xml:space="preserve"> = 7.2kV) to 35kV (</w:t>
      </w:r>
      <w:r>
        <w:rPr>
          <w:rFonts w:eastAsia="黑体"/>
          <w:i/>
          <w:iCs/>
          <w:szCs w:val="28"/>
        </w:rPr>
        <w:t>U</w:t>
      </w:r>
      <w:r>
        <w:rPr>
          <w:rFonts w:eastAsia="黑体"/>
          <w:szCs w:val="28"/>
          <w:vertAlign w:val="subscript"/>
        </w:rPr>
        <w:t>m</w:t>
      </w:r>
      <w:r>
        <w:rPr>
          <w:rFonts w:eastAsia="黑体"/>
          <w:szCs w:val="28"/>
        </w:rPr>
        <w:t xml:space="preserve"> = 40.5kV)</w:t>
      </w:r>
    </w:p>
    <w:p w14:paraId="3D352A37">
      <w:pPr>
        <w:pStyle w:val="125"/>
        <w:framePr w:w="9639" w:h="6974" w:hRule="exact" w:wrap="around" w:vAnchor="page" w:hAnchor="page" w:x="1419" w:y="6408" w:anchorLock="1"/>
        <w:textAlignment w:val="bottom"/>
        <w:rPr>
          <w:rFonts w:eastAsia="黑体"/>
          <w:szCs w:val="28"/>
        </w:rPr>
      </w:pPr>
    </w:p>
    <w:p w14:paraId="32E96E0F">
      <w:pPr>
        <w:pStyle w:val="125"/>
        <w:framePr w:w="9639" w:h="6974" w:hRule="exact" w:wrap="around" w:vAnchor="page" w:hAnchor="page" w:x="1419" w:y="6408" w:anchorLock="1"/>
        <w:textAlignment w:val="bottom"/>
        <w:rPr>
          <w:rFonts w:eastAsia="黑体"/>
          <w:szCs w:val="28"/>
        </w:rPr>
      </w:pPr>
    </w:p>
    <w:p w14:paraId="78C09F7B">
      <w:pPr>
        <w:pStyle w:val="125"/>
        <w:framePr w:w="9639" w:h="6974" w:hRule="exact" w:wrap="around" w:vAnchor="page" w:hAnchor="page" w:x="1419" w:y="6408" w:anchorLock="1"/>
        <w:textAlignment w:val="bottom"/>
        <w:rPr>
          <w:rFonts w:hint="default" w:eastAsia="黑体"/>
          <w:szCs w:val="28"/>
          <w:lang w:val="en-US" w:eastAsia="zh-CN"/>
        </w:rPr>
      </w:pPr>
      <w:r>
        <w:rPr>
          <w:rFonts w:hint="eastAsia" w:eastAsia="黑体"/>
          <w:szCs w:val="28"/>
          <w:lang w:val="en-US" w:eastAsia="zh-CN"/>
        </w:rPr>
        <w:t>征求意见稿</w:t>
      </w:r>
    </w:p>
    <w:p w14:paraId="2EF8A3A7">
      <w:pPr>
        <w:pStyle w:val="193"/>
        <w:framePr w:wrap="around" w:y="14176"/>
      </w:pPr>
      <w:r>
        <w:rPr>
          <w:rFonts w:hint="eastAsia" w:ascii="黑体"/>
          <w:lang w:val="en-US" w:eastAsia="zh-CN"/>
        </w:rPr>
        <w:t>XXXX</w:t>
      </w:r>
      <w:r>
        <w:t xml:space="preserve"> </w:t>
      </w:r>
      <w:r>
        <w:rPr>
          <w:rFonts w:ascii="黑体"/>
        </w:rPr>
        <w:t>-</w:t>
      </w:r>
      <w:r>
        <w:t xml:space="preserve"> </w:t>
      </w:r>
      <w:r>
        <w:rPr>
          <w:rFonts w:hint="eastAsia" w:ascii="黑体"/>
          <w:lang w:val="en-US" w:eastAsia="zh-CN"/>
        </w:rPr>
        <w:t>XX</w:t>
      </w:r>
      <w:r>
        <w:t xml:space="preserve"> </w:t>
      </w:r>
      <w:r>
        <w:rPr>
          <w:rFonts w:ascii="黑体"/>
        </w:rPr>
        <w:t>-</w:t>
      </w:r>
      <w:r>
        <w:t xml:space="preserve"> </w:t>
      </w:r>
      <w:r>
        <w:rPr>
          <w:rFonts w:hint="eastAsia" w:ascii="黑体"/>
          <w:lang w:val="en-US" w:eastAsia="zh-CN"/>
        </w:rPr>
        <w:t>XX</w:t>
      </w:r>
      <w:r>
        <w:rPr>
          <w:rFonts w:hint="eastAsia"/>
        </w:rPr>
        <w:t>发布</w:t>
      </w:r>
    </w:p>
    <w:p w14:paraId="13AB05C1">
      <w:pPr>
        <w:pStyle w:val="194"/>
        <w:framePr w:wrap="around" w:y="14176"/>
      </w:pPr>
      <w:r>
        <w:rPr>
          <w:rFonts w:hint="eastAsia" w:ascii="黑体"/>
          <w:lang w:val="en-US" w:eastAsia="zh-CN"/>
        </w:rPr>
        <w:t>XXXX</w:t>
      </w:r>
      <w:r>
        <w:t xml:space="preserve"> </w:t>
      </w:r>
      <w:r>
        <w:rPr>
          <w:rFonts w:ascii="黑体"/>
        </w:rPr>
        <w:t>-</w:t>
      </w:r>
      <w:r>
        <w:t xml:space="preserve"> </w:t>
      </w:r>
      <w:r>
        <w:rPr>
          <w:rFonts w:hint="eastAsia" w:ascii="黑体"/>
          <w:lang w:val="en-US" w:eastAsia="zh-CN"/>
        </w:rPr>
        <w:t>XX</w:t>
      </w:r>
      <w:r>
        <w:t xml:space="preserve"> </w:t>
      </w:r>
      <w:r>
        <w:rPr>
          <w:rFonts w:ascii="黑体"/>
        </w:rPr>
        <w:t>-</w:t>
      </w:r>
      <w:r>
        <w:t xml:space="preserve"> </w:t>
      </w:r>
      <w:r>
        <w:rPr>
          <w:rFonts w:hint="eastAsia" w:ascii="黑体"/>
          <w:lang w:val="en-US" w:eastAsia="zh-CN"/>
        </w:rPr>
        <w:t>XX</w:t>
      </w:r>
      <w:bookmarkStart w:id="104" w:name="_GoBack"/>
      <w:bookmarkEnd w:id="104"/>
      <w:r>
        <w:rPr>
          <w:rFonts w:hint="eastAsia"/>
        </w:rPr>
        <w:t>实施</w:t>
      </w:r>
    </w:p>
    <w:p w14:paraId="2308668D">
      <w:pPr>
        <w:pStyle w:val="151"/>
        <w:framePr w:h="584" w:hRule="exact" w:hSpace="181" w:vSpace="181" w:wrap="around" w:y="14800"/>
        <w:rPr>
          <w:rFonts w:hint="eastAsia" w:hAnsi="黑体"/>
        </w:rPr>
      </w:pPr>
      <w:r>
        <w:rPr>
          <w:rFonts w:hint="eastAsia" w:hAnsi="黑体"/>
          <w:w w:val="100"/>
          <w:sz w:val="28"/>
        </w:rPr>
        <w:fldChar w:fldCharType="begin">
          <w:ffData>
            <w:name w:val="fm"/>
            <w:enabled/>
            <w:calcOnExit w:val="0"/>
            <w:textInput>
              <w:default w:val="广东省电机工程学会"/>
            </w:textInput>
          </w:ffData>
        </w:fldChar>
      </w:r>
      <w:bookmarkStart w:id="3" w:name="fm"/>
      <w:r>
        <w:rPr>
          <w:rFonts w:hint="eastAsia" w:hAnsi="黑体"/>
          <w:w w:val="100"/>
          <w:sz w:val="28"/>
        </w:rPr>
        <w:instrText xml:space="preserve"> </w:instrText>
      </w:r>
      <w:r>
        <w:rPr>
          <w:rFonts w:hAnsi="黑体"/>
          <w:w w:val="100"/>
          <w:sz w:val="28"/>
        </w:rPr>
        <w:instrText xml:space="preserve">FORMTEXT</w:instrText>
      </w:r>
      <w:r>
        <w:rPr>
          <w:rFonts w:hint="eastAsia" w:hAnsi="黑体"/>
          <w:w w:val="100"/>
          <w:sz w:val="28"/>
        </w:rPr>
        <w:instrText xml:space="preserve"> </w:instrText>
      </w:r>
      <w:r>
        <w:rPr>
          <w:rFonts w:hint="eastAsia" w:hAnsi="黑体"/>
          <w:w w:val="100"/>
          <w:sz w:val="28"/>
        </w:rPr>
        <w:fldChar w:fldCharType="separate"/>
      </w:r>
      <w:r>
        <w:rPr>
          <w:rFonts w:hint="eastAsia" w:hAnsi="黑体"/>
          <w:w w:val="100"/>
          <w:sz w:val="28"/>
        </w:rPr>
        <w:t>广东省电机工程学会</w:t>
      </w:r>
      <w:r>
        <w:rPr>
          <w:rFonts w:hint="eastAsia" w:hAnsi="黑体"/>
          <w:w w:val="100"/>
          <w:sz w:val="28"/>
        </w:rPr>
        <w:fldChar w:fldCharType="end"/>
      </w:r>
      <w:bookmarkEnd w:id="3"/>
      <w:r>
        <w:rPr>
          <w:rFonts w:ascii="Times New Roman"/>
          <w:w w:val="100"/>
          <w:sz w:val="28"/>
        </w:rPr>
        <w:t>  </w:t>
      </w:r>
      <w:r>
        <w:rPr>
          <w:rStyle w:val="229"/>
          <w:rFonts w:hint="eastAsia" w:hAnsi="黑体"/>
          <w:position w:val="0"/>
        </w:rPr>
        <w:t>发</w:t>
      </w:r>
      <w:r>
        <w:rPr>
          <w:rStyle w:val="229"/>
          <w:rFonts w:hint="eastAsia" w:hAnsi="黑体"/>
          <w:spacing w:val="0"/>
          <w:position w:val="0"/>
        </w:rPr>
        <w:t>布</w:t>
      </w:r>
    </w:p>
    <w:p w14:paraId="608514C7">
      <w:pPr>
        <w:rPr>
          <w:rFonts w:hint="eastAsia"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567" w:right="1134" w:bottom="1134" w:left="1134" w:header="1418" w:footer="1134"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27E58D1A">
      <w:pPr>
        <w:pStyle w:val="91"/>
        <w:spacing w:after="360"/>
        <w:rPr>
          <w:rFonts w:hint="eastAsia"/>
        </w:rPr>
      </w:pPr>
      <w:bookmarkStart w:id="4" w:name="BookMark1"/>
      <w:bookmarkStart w:id="5" w:name="_Toc181625000"/>
      <w:r>
        <w:rPr>
          <w:rFonts w:hint="eastAsia"/>
          <w:spacing w:val="320"/>
        </w:rPr>
        <w:t>目</w:t>
      </w:r>
      <w:r>
        <w:rPr>
          <w:rFonts w:hint="eastAsia"/>
        </w:rPr>
        <w:t>次</w:t>
      </w:r>
    </w:p>
    <w:p w14:paraId="3E7A0239">
      <w:pPr>
        <w:pStyle w:val="19"/>
        <w:tabs>
          <w:tab w:val="right" w:leader="dot" w:pos="9344"/>
        </w:tabs>
        <w:rPr>
          <w:rFonts w:hint="eastAsia" w:asciiTheme="minorHAnsi" w:hAnsiTheme="minorHAnsi" w:eastAsiaTheme="minorEastAsia" w:cstheme="minorBidi"/>
          <w:szCs w:val="22"/>
          <w14:ligatures w14:val="standardContextual"/>
        </w:rPr>
      </w:pPr>
      <w:r>
        <w:fldChar w:fldCharType="begin"/>
      </w:r>
      <w:r>
        <w:instrText xml:space="preserve"> TOC \o "1-1" \h \t "标准文件_一级条标题,2,标准文件_附录一级条标题,2," </w:instrText>
      </w:r>
      <w:r>
        <w:fldChar w:fldCharType="separate"/>
      </w:r>
      <w:r>
        <w:fldChar w:fldCharType="begin"/>
      </w:r>
      <w:r>
        <w:instrText xml:space="preserve"> HYPERLINK \l "_Toc181625028" </w:instrText>
      </w:r>
      <w:r>
        <w:fldChar w:fldCharType="separate"/>
      </w:r>
      <w:r>
        <w:rPr>
          <w:rStyle w:val="32"/>
          <w:rFonts w:hint="eastAsia"/>
        </w:rPr>
        <w:t>前言</w:t>
      </w:r>
      <w:r>
        <w:rPr>
          <w:rFonts w:hint="eastAsia"/>
        </w:rPr>
        <w:tab/>
      </w:r>
      <w:r>
        <w:rPr>
          <w:rFonts w:hint="eastAsia"/>
        </w:rPr>
        <w:fldChar w:fldCharType="begin"/>
      </w:r>
      <w:r>
        <w:rPr>
          <w:rFonts w:hint="eastAsia"/>
        </w:rPr>
        <w:instrText xml:space="preserve"> </w:instrText>
      </w:r>
      <w:r>
        <w:instrText xml:space="preserve">PAGEREF _Toc181625028 \h</w:instrText>
      </w:r>
      <w:r>
        <w:rPr>
          <w:rFonts w:hint="eastAsia"/>
        </w:rPr>
        <w:instrText xml:space="preserve"> </w:instrText>
      </w:r>
      <w:r>
        <w:fldChar w:fldCharType="separate"/>
      </w:r>
      <w:r>
        <w:t>II</w:t>
      </w:r>
      <w:r>
        <w:rPr>
          <w:rFonts w:hint="eastAsia"/>
        </w:rPr>
        <w:fldChar w:fldCharType="end"/>
      </w:r>
      <w:r>
        <w:rPr>
          <w:rFonts w:hint="eastAsia"/>
        </w:rPr>
        <w:fldChar w:fldCharType="end"/>
      </w:r>
    </w:p>
    <w:p w14:paraId="69B423F0">
      <w:pPr>
        <w:pStyle w:val="19"/>
        <w:tabs>
          <w:tab w:val="right" w:leader="dot" w:pos="9344"/>
        </w:tabs>
        <w:rPr>
          <w:rFonts w:hint="eastAsia" w:asciiTheme="minorHAnsi" w:hAnsiTheme="minorHAnsi" w:eastAsiaTheme="minorEastAsia" w:cstheme="minorBidi"/>
          <w:szCs w:val="22"/>
          <w14:ligatures w14:val="standardContextual"/>
        </w:rPr>
      </w:pPr>
      <w:r>
        <w:fldChar w:fldCharType="begin"/>
      </w:r>
      <w:r>
        <w:instrText xml:space="preserve"> HYPERLINK \l "_Toc181625029" </w:instrText>
      </w:r>
      <w:r>
        <w:fldChar w:fldCharType="separate"/>
      </w:r>
      <w:r>
        <w:rPr>
          <w:rStyle w:val="32"/>
          <w:rFonts w:hint="eastAsia"/>
        </w:rPr>
        <w:t>1</w:t>
      </w:r>
      <w:r>
        <w:rPr>
          <w:rStyle w:val="32"/>
        </w:rPr>
        <w:t xml:space="preserve"> </w:t>
      </w:r>
      <w:r>
        <w:rPr>
          <w:rStyle w:val="32"/>
          <w:rFonts w:hint="eastAsia"/>
        </w:rPr>
        <w:t xml:space="preserve"> 范围</w:t>
      </w:r>
      <w:r>
        <w:rPr>
          <w:rFonts w:hint="eastAsia"/>
        </w:rPr>
        <w:tab/>
      </w:r>
      <w:r>
        <w:rPr>
          <w:rFonts w:hint="eastAsia"/>
        </w:rPr>
        <w:fldChar w:fldCharType="begin"/>
      </w:r>
      <w:r>
        <w:rPr>
          <w:rFonts w:hint="eastAsia"/>
        </w:rPr>
        <w:instrText xml:space="preserve"> </w:instrText>
      </w:r>
      <w:r>
        <w:instrText xml:space="preserve">PAGEREF _Toc181625029 \h</w:instrText>
      </w:r>
      <w:r>
        <w:rPr>
          <w:rFonts w:hint="eastAsia"/>
        </w:rPr>
        <w:instrText xml:space="preserve"> </w:instrText>
      </w:r>
      <w:r>
        <w:fldChar w:fldCharType="separate"/>
      </w:r>
      <w:r>
        <w:t>1</w:t>
      </w:r>
      <w:r>
        <w:rPr>
          <w:rFonts w:hint="eastAsia"/>
        </w:rPr>
        <w:fldChar w:fldCharType="end"/>
      </w:r>
      <w:r>
        <w:rPr>
          <w:rFonts w:hint="eastAsia"/>
        </w:rPr>
        <w:fldChar w:fldCharType="end"/>
      </w:r>
    </w:p>
    <w:p w14:paraId="3ED3A938">
      <w:pPr>
        <w:pStyle w:val="19"/>
        <w:tabs>
          <w:tab w:val="right" w:leader="dot" w:pos="9344"/>
        </w:tabs>
        <w:rPr>
          <w:rFonts w:hint="eastAsia" w:asciiTheme="minorHAnsi" w:hAnsiTheme="minorHAnsi" w:eastAsiaTheme="minorEastAsia" w:cstheme="minorBidi"/>
          <w:szCs w:val="22"/>
          <w14:ligatures w14:val="standardContextual"/>
        </w:rPr>
      </w:pPr>
      <w:r>
        <w:fldChar w:fldCharType="begin"/>
      </w:r>
      <w:r>
        <w:instrText xml:space="preserve"> HYPERLINK \l "_Toc181625030" </w:instrText>
      </w:r>
      <w:r>
        <w:fldChar w:fldCharType="separate"/>
      </w:r>
      <w:r>
        <w:rPr>
          <w:rStyle w:val="32"/>
          <w:rFonts w:hint="eastAsia"/>
        </w:rPr>
        <w:t>2</w:t>
      </w:r>
      <w:r>
        <w:rPr>
          <w:rStyle w:val="32"/>
        </w:rPr>
        <w:t xml:space="preserve"> </w:t>
      </w:r>
      <w:r>
        <w:rPr>
          <w:rStyle w:val="32"/>
          <w:rFonts w:hint="eastAsia"/>
        </w:rPr>
        <w:t xml:space="preserve"> 规范性引用文件</w:t>
      </w:r>
      <w:r>
        <w:rPr>
          <w:rFonts w:hint="eastAsia"/>
        </w:rPr>
        <w:tab/>
      </w:r>
      <w:r>
        <w:rPr>
          <w:rFonts w:hint="eastAsia"/>
        </w:rPr>
        <w:fldChar w:fldCharType="begin"/>
      </w:r>
      <w:r>
        <w:rPr>
          <w:rFonts w:hint="eastAsia"/>
        </w:rPr>
        <w:instrText xml:space="preserve"> </w:instrText>
      </w:r>
      <w:r>
        <w:instrText xml:space="preserve">PAGEREF _Toc181625030 \h</w:instrText>
      </w:r>
      <w:r>
        <w:rPr>
          <w:rFonts w:hint="eastAsia"/>
        </w:rPr>
        <w:instrText xml:space="preserve"> </w:instrText>
      </w:r>
      <w:r>
        <w:fldChar w:fldCharType="separate"/>
      </w:r>
      <w:r>
        <w:t>1</w:t>
      </w:r>
      <w:r>
        <w:rPr>
          <w:rFonts w:hint="eastAsia"/>
        </w:rPr>
        <w:fldChar w:fldCharType="end"/>
      </w:r>
      <w:r>
        <w:rPr>
          <w:rFonts w:hint="eastAsia"/>
        </w:rPr>
        <w:fldChar w:fldCharType="end"/>
      </w:r>
    </w:p>
    <w:p w14:paraId="590FACEC">
      <w:pPr>
        <w:pStyle w:val="19"/>
        <w:tabs>
          <w:tab w:val="right" w:leader="dot" w:pos="9344"/>
        </w:tabs>
        <w:rPr>
          <w:rFonts w:hint="eastAsia" w:asciiTheme="minorHAnsi" w:hAnsiTheme="minorHAnsi" w:eastAsiaTheme="minorEastAsia" w:cstheme="minorBidi"/>
          <w:szCs w:val="22"/>
          <w14:ligatures w14:val="standardContextual"/>
        </w:rPr>
      </w:pPr>
      <w:r>
        <w:fldChar w:fldCharType="begin"/>
      </w:r>
      <w:r>
        <w:instrText xml:space="preserve"> HYPERLINK \l "_Toc181625031" </w:instrText>
      </w:r>
      <w:r>
        <w:fldChar w:fldCharType="separate"/>
      </w:r>
      <w:r>
        <w:rPr>
          <w:rStyle w:val="32"/>
          <w:rFonts w:hint="eastAsia"/>
        </w:rPr>
        <w:t>3</w:t>
      </w:r>
      <w:r>
        <w:rPr>
          <w:rStyle w:val="32"/>
        </w:rPr>
        <w:t xml:space="preserve"> </w:t>
      </w:r>
      <w:r>
        <w:rPr>
          <w:rStyle w:val="32"/>
          <w:rFonts w:hint="eastAsia"/>
        </w:rPr>
        <w:t xml:space="preserve"> 术语和定义</w:t>
      </w:r>
      <w:r>
        <w:rPr>
          <w:rFonts w:hint="eastAsia"/>
        </w:rPr>
        <w:tab/>
      </w:r>
      <w:r>
        <w:rPr>
          <w:rFonts w:hint="eastAsia"/>
        </w:rPr>
        <w:fldChar w:fldCharType="begin"/>
      </w:r>
      <w:r>
        <w:rPr>
          <w:rFonts w:hint="eastAsia"/>
        </w:rPr>
        <w:instrText xml:space="preserve"> </w:instrText>
      </w:r>
      <w:r>
        <w:instrText xml:space="preserve">PAGEREF _Toc181625031 \h</w:instrText>
      </w:r>
      <w:r>
        <w:rPr>
          <w:rFonts w:hint="eastAsia"/>
        </w:rPr>
        <w:instrText xml:space="preserve"> </w:instrText>
      </w:r>
      <w:r>
        <w:fldChar w:fldCharType="separate"/>
      </w:r>
      <w:r>
        <w:t>1</w:t>
      </w:r>
      <w:r>
        <w:rPr>
          <w:rFonts w:hint="eastAsia"/>
        </w:rPr>
        <w:fldChar w:fldCharType="end"/>
      </w:r>
      <w:r>
        <w:rPr>
          <w:rFonts w:hint="eastAsia"/>
        </w:rPr>
        <w:fldChar w:fldCharType="end"/>
      </w:r>
    </w:p>
    <w:p w14:paraId="4969C2EF">
      <w:pPr>
        <w:pStyle w:val="19"/>
        <w:tabs>
          <w:tab w:val="right" w:leader="dot" w:pos="9344"/>
        </w:tabs>
        <w:rPr>
          <w:rFonts w:hint="eastAsia" w:asciiTheme="minorHAnsi" w:hAnsiTheme="minorHAnsi" w:eastAsiaTheme="minorEastAsia" w:cstheme="minorBidi"/>
          <w:szCs w:val="22"/>
          <w14:ligatures w14:val="standardContextual"/>
        </w:rPr>
      </w:pPr>
      <w:r>
        <w:fldChar w:fldCharType="begin"/>
      </w:r>
      <w:r>
        <w:instrText xml:space="preserve"> HYPERLINK \l "_Toc181625032" </w:instrText>
      </w:r>
      <w:r>
        <w:fldChar w:fldCharType="separate"/>
      </w:r>
      <w:r>
        <w:rPr>
          <w:rStyle w:val="32"/>
          <w:rFonts w:hint="eastAsia"/>
        </w:rPr>
        <w:t>4</w:t>
      </w:r>
      <w:r>
        <w:rPr>
          <w:rStyle w:val="32"/>
        </w:rPr>
        <w:t xml:space="preserve"> </w:t>
      </w:r>
      <w:r>
        <w:rPr>
          <w:rStyle w:val="32"/>
          <w:rFonts w:hint="eastAsia"/>
        </w:rPr>
        <w:t xml:space="preserve"> 使用特性</w:t>
      </w:r>
      <w:r>
        <w:rPr>
          <w:rFonts w:hint="eastAsia"/>
        </w:rPr>
        <w:tab/>
      </w:r>
      <w:r>
        <w:rPr>
          <w:rFonts w:hint="eastAsia"/>
        </w:rPr>
        <w:fldChar w:fldCharType="begin"/>
      </w:r>
      <w:r>
        <w:rPr>
          <w:rFonts w:hint="eastAsia"/>
        </w:rPr>
        <w:instrText xml:space="preserve"> </w:instrText>
      </w:r>
      <w:r>
        <w:instrText xml:space="preserve">PAGEREF _Toc181625032 \h</w:instrText>
      </w:r>
      <w:r>
        <w:rPr>
          <w:rFonts w:hint="eastAsia"/>
        </w:rPr>
        <w:instrText xml:space="preserve"> </w:instrText>
      </w:r>
      <w:r>
        <w:fldChar w:fldCharType="separate"/>
      </w:r>
      <w:r>
        <w:t>2</w:t>
      </w:r>
      <w:r>
        <w:rPr>
          <w:rFonts w:hint="eastAsia"/>
        </w:rPr>
        <w:fldChar w:fldCharType="end"/>
      </w:r>
      <w:r>
        <w:rPr>
          <w:rFonts w:hint="eastAsia"/>
        </w:rPr>
        <w:fldChar w:fldCharType="end"/>
      </w:r>
    </w:p>
    <w:p w14:paraId="69924518">
      <w:pPr>
        <w:pStyle w:val="19"/>
        <w:tabs>
          <w:tab w:val="right" w:leader="dot" w:pos="9344"/>
        </w:tabs>
        <w:rPr>
          <w:rFonts w:hint="eastAsia" w:asciiTheme="minorHAnsi" w:hAnsiTheme="minorHAnsi" w:eastAsiaTheme="minorEastAsia" w:cstheme="minorBidi"/>
          <w:szCs w:val="22"/>
          <w14:ligatures w14:val="standardContextual"/>
        </w:rPr>
      </w:pPr>
      <w:r>
        <w:fldChar w:fldCharType="begin"/>
      </w:r>
      <w:r>
        <w:instrText xml:space="preserve"> HYPERLINK \l "_Toc181625036" </w:instrText>
      </w:r>
      <w:r>
        <w:fldChar w:fldCharType="separate"/>
      </w:r>
      <w:r>
        <w:rPr>
          <w:rStyle w:val="32"/>
          <w:rFonts w:hint="eastAsia"/>
        </w:rPr>
        <w:t>5</w:t>
      </w:r>
      <w:r>
        <w:rPr>
          <w:rStyle w:val="32"/>
        </w:rPr>
        <w:t xml:space="preserve"> </w:t>
      </w:r>
      <w:r>
        <w:rPr>
          <w:rStyle w:val="32"/>
          <w:rFonts w:hint="eastAsia"/>
        </w:rPr>
        <w:t xml:space="preserve"> 产品的型号和表示方法</w:t>
      </w:r>
      <w:r>
        <w:rPr>
          <w:rFonts w:hint="eastAsia"/>
        </w:rPr>
        <w:tab/>
      </w:r>
      <w:r>
        <w:rPr>
          <w:rFonts w:hint="eastAsia"/>
        </w:rPr>
        <w:fldChar w:fldCharType="begin"/>
      </w:r>
      <w:r>
        <w:rPr>
          <w:rFonts w:hint="eastAsia"/>
        </w:rPr>
        <w:instrText xml:space="preserve"> </w:instrText>
      </w:r>
      <w:r>
        <w:instrText xml:space="preserve">PAGEREF _Toc181625036 \h</w:instrText>
      </w:r>
      <w:r>
        <w:rPr>
          <w:rFonts w:hint="eastAsia"/>
        </w:rPr>
        <w:instrText xml:space="preserve"> </w:instrText>
      </w:r>
      <w:r>
        <w:fldChar w:fldCharType="separate"/>
      </w:r>
      <w:r>
        <w:t>2</w:t>
      </w:r>
      <w:r>
        <w:rPr>
          <w:rFonts w:hint="eastAsia"/>
        </w:rPr>
        <w:fldChar w:fldCharType="end"/>
      </w:r>
      <w:r>
        <w:rPr>
          <w:rFonts w:hint="eastAsia"/>
        </w:rPr>
        <w:fldChar w:fldCharType="end"/>
      </w:r>
    </w:p>
    <w:p w14:paraId="1754463E">
      <w:pPr>
        <w:pStyle w:val="19"/>
        <w:tabs>
          <w:tab w:val="right" w:leader="dot" w:pos="9344"/>
        </w:tabs>
        <w:rPr>
          <w:rFonts w:hint="eastAsia" w:asciiTheme="minorHAnsi" w:hAnsiTheme="minorHAnsi" w:eastAsiaTheme="minorEastAsia" w:cstheme="minorBidi"/>
          <w:szCs w:val="22"/>
          <w14:ligatures w14:val="standardContextual"/>
        </w:rPr>
      </w:pPr>
      <w:r>
        <w:fldChar w:fldCharType="begin"/>
      </w:r>
      <w:r>
        <w:instrText xml:space="preserve"> HYPERLINK \l "_Toc181625040" </w:instrText>
      </w:r>
      <w:r>
        <w:fldChar w:fldCharType="separate"/>
      </w:r>
      <w:r>
        <w:rPr>
          <w:rStyle w:val="32"/>
          <w:rFonts w:hint="eastAsia"/>
        </w:rPr>
        <w:t>6</w:t>
      </w:r>
      <w:r>
        <w:rPr>
          <w:rStyle w:val="32"/>
        </w:rPr>
        <w:t xml:space="preserve"> </w:t>
      </w:r>
      <w:r>
        <w:rPr>
          <w:rStyle w:val="32"/>
          <w:rFonts w:hint="eastAsia"/>
        </w:rPr>
        <w:t xml:space="preserve"> 技术要求</w:t>
      </w:r>
      <w:r>
        <w:rPr>
          <w:rFonts w:hint="eastAsia"/>
        </w:rPr>
        <w:tab/>
      </w:r>
      <w:r>
        <w:rPr>
          <w:rFonts w:hint="eastAsia"/>
        </w:rPr>
        <w:fldChar w:fldCharType="begin"/>
      </w:r>
      <w:r>
        <w:rPr>
          <w:rFonts w:hint="eastAsia"/>
        </w:rPr>
        <w:instrText xml:space="preserve"> </w:instrText>
      </w:r>
      <w:r>
        <w:instrText xml:space="preserve">PAGEREF _Toc181625040 \h</w:instrText>
      </w:r>
      <w:r>
        <w:rPr>
          <w:rFonts w:hint="eastAsia"/>
        </w:rPr>
        <w:instrText xml:space="preserve"> </w:instrText>
      </w:r>
      <w:r>
        <w:fldChar w:fldCharType="separate"/>
      </w:r>
      <w:r>
        <w:t>3</w:t>
      </w:r>
      <w:r>
        <w:rPr>
          <w:rFonts w:hint="eastAsia"/>
        </w:rPr>
        <w:fldChar w:fldCharType="end"/>
      </w:r>
      <w:r>
        <w:rPr>
          <w:rFonts w:hint="eastAsia"/>
        </w:rPr>
        <w:fldChar w:fldCharType="end"/>
      </w:r>
    </w:p>
    <w:p w14:paraId="26DD2729">
      <w:pPr>
        <w:pStyle w:val="19"/>
        <w:tabs>
          <w:tab w:val="right" w:leader="dot" w:pos="9344"/>
        </w:tabs>
        <w:rPr>
          <w:rFonts w:hint="eastAsia" w:asciiTheme="minorHAnsi" w:hAnsiTheme="minorHAnsi" w:eastAsiaTheme="minorEastAsia" w:cstheme="minorBidi"/>
          <w:szCs w:val="22"/>
          <w14:ligatures w14:val="standardContextual"/>
        </w:rPr>
      </w:pPr>
      <w:r>
        <w:fldChar w:fldCharType="begin"/>
      </w:r>
      <w:r>
        <w:instrText xml:space="preserve"> HYPERLINK \l "_Toc181625044" </w:instrText>
      </w:r>
      <w:r>
        <w:fldChar w:fldCharType="separate"/>
      </w:r>
      <w:r>
        <w:rPr>
          <w:rStyle w:val="32"/>
          <w:rFonts w:hint="eastAsia"/>
        </w:rPr>
        <w:t>7</w:t>
      </w:r>
      <w:r>
        <w:rPr>
          <w:rStyle w:val="32"/>
        </w:rPr>
        <w:t xml:space="preserve"> </w:t>
      </w:r>
      <w:r>
        <w:rPr>
          <w:rStyle w:val="32"/>
          <w:rFonts w:hint="eastAsia"/>
        </w:rPr>
        <w:t xml:space="preserve"> 试验</w:t>
      </w:r>
      <w:r>
        <w:rPr>
          <w:rFonts w:hint="eastAsia"/>
        </w:rPr>
        <w:tab/>
      </w:r>
      <w:r>
        <w:rPr>
          <w:rFonts w:hint="eastAsia"/>
        </w:rPr>
        <w:fldChar w:fldCharType="begin"/>
      </w:r>
      <w:r>
        <w:rPr>
          <w:rFonts w:hint="eastAsia"/>
        </w:rPr>
        <w:instrText xml:space="preserve"> </w:instrText>
      </w:r>
      <w:r>
        <w:instrText xml:space="preserve">PAGEREF _Toc181625044 \h</w:instrText>
      </w:r>
      <w:r>
        <w:rPr>
          <w:rFonts w:hint="eastAsia"/>
        </w:rPr>
        <w:instrText xml:space="preserve"> </w:instrText>
      </w:r>
      <w:r>
        <w:fldChar w:fldCharType="separate"/>
      </w:r>
      <w:r>
        <w:t>4</w:t>
      </w:r>
      <w:r>
        <w:rPr>
          <w:rFonts w:hint="eastAsia"/>
        </w:rPr>
        <w:fldChar w:fldCharType="end"/>
      </w:r>
      <w:r>
        <w:rPr>
          <w:rFonts w:hint="eastAsia"/>
        </w:rPr>
        <w:fldChar w:fldCharType="end"/>
      </w:r>
    </w:p>
    <w:p w14:paraId="02728E2C">
      <w:pPr>
        <w:pStyle w:val="19"/>
        <w:tabs>
          <w:tab w:val="right" w:leader="dot" w:pos="9344"/>
        </w:tabs>
        <w:rPr>
          <w:rFonts w:hint="eastAsia" w:asciiTheme="minorHAnsi" w:hAnsiTheme="minorHAnsi" w:eastAsiaTheme="minorEastAsia" w:cstheme="minorBidi"/>
          <w:szCs w:val="22"/>
          <w14:ligatures w14:val="standardContextual"/>
        </w:rPr>
      </w:pPr>
      <w:r>
        <w:fldChar w:fldCharType="begin"/>
      </w:r>
      <w:r>
        <w:instrText xml:space="preserve"> HYPERLINK \l "_Toc181625051" </w:instrText>
      </w:r>
      <w:r>
        <w:fldChar w:fldCharType="separate"/>
      </w:r>
      <w:r>
        <w:rPr>
          <w:rStyle w:val="32"/>
          <w:rFonts w:hint="eastAsia"/>
        </w:rPr>
        <w:t>8</w:t>
      </w:r>
      <w:r>
        <w:rPr>
          <w:rStyle w:val="32"/>
        </w:rPr>
        <w:t xml:space="preserve"> </w:t>
      </w:r>
      <w:r>
        <w:rPr>
          <w:rStyle w:val="32"/>
          <w:rFonts w:hint="eastAsia"/>
        </w:rPr>
        <w:t xml:space="preserve"> 检验验收规则</w:t>
      </w:r>
      <w:r>
        <w:rPr>
          <w:rFonts w:hint="eastAsia"/>
        </w:rPr>
        <w:tab/>
      </w:r>
      <w:r>
        <w:rPr>
          <w:rFonts w:hint="eastAsia"/>
        </w:rPr>
        <w:fldChar w:fldCharType="begin"/>
      </w:r>
      <w:r>
        <w:rPr>
          <w:rFonts w:hint="eastAsia"/>
        </w:rPr>
        <w:instrText xml:space="preserve"> </w:instrText>
      </w:r>
      <w:r>
        <w:instrText xml:space="preserve">PAGEREF _Toc181625051 \h</w:instrText>
      </w:r>
      <w:r>
        <w:rPr>
          <w:rFonts w:hint="eastAsia"/>
        </w:rPr>
        <w:instrText xml:space="preserve"> </w:instrText>
      </w:r>
      <w:r>
        <w:fldChar w:fldCharType="separate"/>
      </w:r>
      <w:r>
        <w:t>5</w:t>
      </w:r>
      <w:r>
        <w:rPr>
          <w:rFonts w:hint="eastAsia"/>
        </w:rPr>
        <w:fldChar w:fldCharType="end"/>
      </w:r>
      <w:r>
        <w:rPr>
          <w:rFonts w:hint="eastAsia"/>
        </w:rPr>
        <w:fldChar w:fldCharType="end"/>
      </w:r>
    </w:p>
    <w:p w14:paraId="7FC4D984">
      <w:pPr>
        <w:pStyle w:val="19"/>
        <w:tabs>
          <w:tab w:val="right" w:leader="dot" w:pos="9344"/>
        </w:tabs>
        <w:rPr>
          <w:rFonts w:hint="eastAsia" w:asciiTheme="minorHAnsi" w:hAnsiTheme="minorHAnsi" w:eastAsiaTheme="minorEastAsia" w:cstheme="minorBidi"/>
          <w:szCs w:val="22"/>
          <w14:ligatures w14:val="standardContextual"/>
        </w:rPr>
      </w:pPr>
      <w:r>
        <w:fldChar w:fldCharType="begin"/>
      </w:r>
      <w:r>
        <w:instrText xml:space="preserve"> HYPERLINK \l "_Toc181625052" </w:instrText>
      </w:r>
      <w:r>
        <w:fldChar w:fldCharType="separate"/>
      </w:r>
      <w:r>
        <w:rPr>
          <w:rStyle w:val="32"/>
          <w:rFonts w:hint="eastAsia"/>
        </w:rPr>
        <w:t>9</w:t>
      </w:r>
      <w:r>
        <w:rPr>
          <w:rStyle w:val="32"/>
        </w:rPr>
        <w:t xml:space="preserve"> </w:t>
      </w:r>
      <w:r>
        <w:rPr>
          <w:rStyle w:val="32"/>
          <w:rFonts w:hint="eastAsia"/>
        </w:rPr>
        <w:t xml:space="preserve"> 包装、运输及贮存</w:t>
      </w:r>
      <w:r>
        <w:rPr>
          <w:rFonts w:hint="eastAsia"/>
        </w:rPr>
        <w:tab/>
      </w:r>
      <w:r>
        <w:rPr>
          <w:rFonts w:hint="eastAsia"/>
        </w:rPr>
        <w:fldChar w:fldCharType="begin"/>
      </w:r>
      <w:r>
        <w:rPr>
          <w:rFonts w:hint="eastAsia"/>
        </w:rPr>
        <w:instrText xml:space="preserve"> </w:instrText>
      </w:r>
      <w:r>
        <w:instrText xml:space="preserve">PAGEREF _Toc181625052 \h</w:instrText>
      </w:r>
      <w:r>
        <w:rPr>
          <w:rFonts w:hint="eastAsia"/>
        </w:rPr>
        <w:instrText xml:space="preserve"> </w:instrText>
      </w:r>
      <w:r>
        <w:fldChar w:fldCharType="separate"/>
      </w:r>
      <w:r>
        <w:t>5</w:t>
      </w:r>
      <w:r>
        <w:rPr>
          <w:rFonts w:hint="eastAsia"/>
        </w:rPr>
        <w:fldChar w:fldCharType="end"/>
      </w:r>
      <w:r>
        <w:rPr>
          <w:rFonts w:hint="eastAsia"/>
        </w:rPr>
        <w:fldChar w:fldCharType="end"/>
      </w:r>
    </w:p>
    <w:p w14:paraId="5DBFEF30">
      <w:pPr>
        <w:pStyle w:val="19"/>
        <w:tabs>
          <w:tab w:val="right" w:leader="dot" w:pos="9344"/>
        </w:tabs>
        <w:rPr>
          <w:rFonts w:hint="eastAsia" w:asciiTheme="minorHAnsi" w:hAnsiTheme="minorHAnsi" w:eastAsiaTheme="minorEastAsia" w:cstheme="minorBidi"/>
          <w:szCs w:val="22"/>
          <w14:ligatures w14:val="standardContextual"/>
        </w:rPr>
      </w:pPr>
      <w:r>
        <w:fldChar w:fldCharType="begin"/>
      </w:r>
      <w:r>
        <w:instrText xml:space="preserve"> HYPERLINK \l "_Toc181625054" </w:instrText>
      </w:r>
      <w:r>
        <w:fldChar w:fldCharType="separate"/>
      </w:r>
      <w:r>
        <w:rPr>
          <w:rStyle w:val="32"/>
          <w:rFonts w:hint="eastAsia"/>
        </w:rPr>
        <w:t>附录A（规范性）</w:t>
      </w:r>
      <w:r>
        <w:rPr>
          <w:rStyle w:val="32"/>
        </w:rPr>
        <w:t xml:space="preserve"> </w:t>
      </w:r>
      <w:r>
        <w:rPr>
          <w:rStyle w:val="32"/>
          <w:rFonts w:hint="eastAsia"/>
        </w:rPr>
        <w:t xml:space="preserve"> </w:t>
      </w:r>
      <w:r>
        <w:rPr>
          <w:rStyle w:val="32"/>
          <w:rFonts w:hint="eastAsia"/>
          <w:lang w:val="en-US" w:eastAsia="zh-CN"/>
        </w:rPr>
        <w:t>熔</w:t>
      </w:r>
      <w:r>
        <w:rPr>
          <w:rStyle w:val="32"/>
          <w:rFonts w:hint="eastAsia"/>
        </w:rPr>
        <w:t>接头结构示意图</w:t>
      </w:r>
      <w:r>
        <w:rPr>
          <w:rFonts w:hint="eastAsia"/>
        </w:rPr>
        <w:tab/>
      </w:r>
      <w:r>
        <w:rPr>
          <w:rFonts w:hint="eastAsia"/>
        </w:rPr>
        <w:fldChar w:fldCharType="begin"/>
      </w:r>
      <w:r>
        <w:rPr>
          <w:rFonts w:hint="eastAsia"/>
        </w:rPr>
        <w:instrText xml:space="preserve"> </w:instrText>
      </w:r>
      <w:r>
        <w:instrText xml:space="preserve">PAGEREF _Toc181625054 \h</w:instrText>
      </w:r>
      <w:r>
        <w:rPr>
          <w:rFonts w:hint="eastAsia"/>
        </w:rPr>
        <w:instrText xml:space="preserve"> </w:instrText>
      </w:r>
      <w:r>
        <w:fldChar w:fldCharType="separate"/>
      </w:r>
      <w:r>
        <w:t>7</w:t>
      </w:r>
      <w:r>
        <w:rPr>
          <w:rFonts w:hint="eastAsia"/>
        </w:rPr>
        <w:fldChar w:fldCharType="end"/>
      </w:r>
      <w:r>
        <w:rPr>
          <w:rFonts w:hint="eastAsia"/>
        </w:rPr>
        <w:fldChar w:fldCharType="end"/>
      </w:r>
    </w:p>
    <w:p w14:paraId="39750DBB">
      <w:pPr>
        <w:pStyle w:val="91"/>
        <w:spacing w:after="360"/>
        <w:sectPr>
          <w:headerReference r:id="rId11" w:type="default"/>
          <w:footerReference r:id="rId13" w:type="default"/>
          <w:headerReference r:id="rId12" w:type="even"/>
          <w:pgSz w:w="11906" w:h="16838"/>
          <w:pgMar w:top="1928" w:right="1134" w:bottom="1134" w:left="1134" w:header="1418" w:footer="1134" w:gutter="284"/>
          <w:pgNumType w:fmt="upperRoman" w:start="1"/>
          <w:cols w:space="425" w:num="1"/>
          <w:formProt w:val="0"/>
          <w:docGrid w:linePitch="312" w:charSpace="0"/>
        </w:sectPr>
      </w:pPr>
      <w:r>
        <w:fldChar w:fldCharType="end"/>
      </w:r>
    </w:p>
    <w:bookmarkEnd w:id="4"/>
    <w:p w14:paraId="226DC51E">
      <w:pPr>
        <w:pStyle w:val="89"/>
        <w:spacing w:before="900" w:after="360"/>
        <w:rPr>
          <w:rFonts w:hint="eastAsia"/>
        </w:rPr>
      </w:pPr>
      <w:bookmarkStart w:id="6" w:name="_Toc181625028"/>
      <w:bookmarkStart w:id="7" w:name="BookMark2"/>
      <w:r>
        <w:rPr>
          <w:rFonts w:hint="eastAsia"/>
          <w:spacing w:val="320"/>
        </w:rPr>
        <w:t>前</w:t>
      </w:r>
      <w:r>
        <w:rPr>
          <w:rFonts w:hint="eastAsia"/>
        </w:rPr>
        <w:t>言</w:t>
      </w:r>
      <w:bookmarkEnd w:id="5"/>
      <w:bookmarkEnd w:id="6"/>
    </w:p>
    <w:p w14:paraId="1F5105A6">
      <w:pPr>
        <w:pStyle w:val="57"/>
        <w:ind w:firstLine="420"/>
        <w:rPr>
          <w:rFonts w:hint="eastAsia"/>
        </w:rPr>
      </w:pPr>
      <w:r>
        <w:rPr>
          <w:rFonts w:hint="eastAsia"/>
        </w:rPr>
        <w:t>本文件按照GB/T 1.1—2020《标准化工作导则  第1部分：标准化文件的结构和起草规则》的规定起草。</w:t>
      </w:r>
    </w:p>
    <w:p w14:paraId="14A1C98A">
      <w:pPr>
        <w:pStyle w:val="57"/>
        <w:ind w:firstLine="420"/>
      </w:pPr>
      <w:r>
        <w:rPr>
          <w:rFonts w:hint="eastAsia"/>
        </w:rPr>
        <w:t>通过制订、宣贯、应用《额定电压6kV（</w:t>
      </w:r>
      <w:r>
        <w:rPr>
          <w:rFonts w:hint="eastAsia"/>
          <w:i/>
        </w:rPr>
        <w:t>U</w:t>
      </w:r>
      <w:r>
        <w:rPr>
          <w:rFonts w:hint="eastAsia"/>
          <w:vertAlign w:val="subscript"/>
        </w:rPr>
        <w:t>m</w:t>
      </w:r>
      <w:r>
        <w:rPr>
          <w:rFonts w:hint="eastAsia"/>
        </w:rPr>
        <w:t>=7.2kV）至35kV（</w:t>
      </w:r>
      <w:r>
        <w:rPr>
          <w:rFonts w:hint="eastAsia"/>
          <w:i/>
        </w:rPr>
        <w:t>U</w:t>
      </w:r>
      <w:r>
        <w:rPr>
          <w:rFonts w:hint="eastAsia"/>
          <w:vertAlign w:val="subscript"/>
        </w:rPr>
        <w:t>m</w:t>
      </w:r>
      <w:r>
        <w:rPr>
          <w:rFonts w:hint="eastAsia"/>
        </w:rPr>
        <w:t>=40.5kV）交联聚乙烯绝缘电力电缆熔接头》技术标准，可以弥补行业在交联聚乙烯绝缘电力电缆熔接头技术标准的空缺，帮助用户在选择、监督制作企业时有标可依，有法可据，并更好地约束制作企业的行为，更好地保证产品质量和运行安全，促进行业健康可持续发展。本团体标准的实施，并通过技术和标准的迭代、进步，为行业标准、国家标准的制定提供基本的应用数据支持，为电缆技术进步和电力行业发展做贡献。</w:t>
      </w:r>
    </w:p>
    <w:p w14:paraId="1DBD6C3B">
      <w:pPr>
        <w:pStyle w:val="57"/>
        <w:ind w:firstLine="420"/>
        <w:rPr>
          <w:rFonts w:hint="eastAsia"/>
        </w:rPr>
      </w:pPr>
      <w:r>
        <w:rPr>
          <w:rFonts w:hint="eastAsia"/>
        </w:rPr>
        <w:t>本标准由广东省电机工程学会电力电缆专业委员会提出并解释。</w:t>
      </w:r>
    </w:p>
    <w:p w14:paraId="06EDD6A6">
      <w:pPr>
        <w:pStyle w:val="57"/>
        <w:ind w:firstLine="420"/>
        <w:rPr>
          <w:rFonts w:hint="eastAsia"/>
        </w:rPr>
      </w:pPr>
      <w:r>
        <w:rPr>
          <w:rFonts w:hint="eastAsia"/>
        </w:rPr>
        <w:t>本标准起草单位：南方电网广东电网有限责任公司电力科学研究院，长园电力技术有限公司，瑞邦电力科技有限公司，地海光电技术有限公司，珠高电气检测有限公司，珠海市电机工程学会，南方电网广东电网有限责任公司珠海供电局，</w:t>
      </w:r>
      <w:r>
        <w:rPr>
          <w:rFonts w:hint="eastAsia"/>
          <w:highlight w:val="none"/>
        </w:rPr>
        <w:t>广州智丰电气科技有限公司</w:t>
      </w:r>
      <w:r>
        <w:rPr>
          <w:rFonts w:hint="eastAsia"/>
          <w:highlight w:val="none"/>
          <w:lang w:eastAsia="zh-CN"/>
        </w:rPr>
        <w:t>，</w:t>
      </w:r>
      <w:r>
        <w:rPr>
          <w:rFonts w:hint="eastAsia"/>
        </w:rPr>
        <w:t>南方电网广东电网有限责任公司珠海香洲供电局，珠海市中力电力设备有限公司，康泰明输变电工程公司康泰明综合能源服务分公司，广东技术师范大学，南方电网广东电网有限责任公司广州供电局</w:t>
      </w:r>
      <w:r>
        <w:rPr>
          <w:rFonts w:hint="eastAsia"/>
          <w:lang w:eastAsia="zh-CN"/>
        </w:rPr>
        <w:t>，广东羊乘科技有限公司</w:t>
      </w:r>
      <w:r>
        <w:rPr>
          <w:rFonts w:hint="eastAsia"/>
        </w:rPr>
        <w:t>。</w:t>
      </w:r>
    </w:p>
    <w:p w14:paraId="6D504F28">
      <w:pPr>
        <w:pStyle w:val="57"/>
        <w:ind w:firstLine="420"/>
        <w:rPr>
          <w:rFonts w:hint="eastAsia"/>
        </w:rPr>
      </w:pPr>
      <w:r>
        <w:rPr>
          <w:rFonts w:hint="eastAsia"/>
        </w:rPr>
        <w:t>本标准主要起草人：</w:t>
      </w:r>
    </w:p>
    <w:p w14:paraId="3CF99BDB">
      <w:pPr>
        <w:pStyle w:val="57"/>
        <w:ind w:firstLine="420"/>
        <w:rPr>
          <w:rFonts w:hint="default" w:eastAsia="宋体"/>
          <w:lang w:val="en-US" w:eastAsia="zh-CN"/>
        </w:rPr>
      </w:pPr>
      <w:r>
        <w:rPr>
          <w:rFonts w:hint="eastAsia"/>
        </w:rPr>
        <w:t>彭向阳、张俊杰、夏云杰、吴伟权、余欣、许永军、李春洋、吕殿泉、刘夏、钟成、杨荣凯、张源、龙运宁、钟梓枫、何伟、傅国强、郑晓东</w:t>
      </w:r>
      <w:r>
        <w:rPr>
          <w:rFonts w:hint="eastAsia"/>
          <w:highlight w:val="none"/>
        </w:rPr>
        <w:t>、陈敏</w:t>
      </w:r>
      <w:r>
        <w:rPr>
          <w:rFonts w:hint="eastAsia"/>
          <w:highlight w:val="none"/>
          <w:lang w:eastAsia="zh-CN"/>
        </w:rPr>
        <w:t>、</w:t>
      </w:r>
      <w:r>
        <w:rPr>
          <w:rFonts w:hint="eastAsia"/>
          <w:highlight w:val="none"/>
        </w:rPr>
        <w:t>周智鹏</w:t>
      </w:r>
      <w:r>
        <w:rPr>
          <w:rFonts w:hint="eastAsia"/>
          <w:highlight w:val="none"/>
          <w:lang w:eastAsia="zh-CN"/>
        </w:rPr>
        <w:t>、</w:t>
      </w:r>
      <w:r>
        <w:rPr>
          <w:rFonts w:hint="eastAsia"/>
          <w:highlight w:val="none"/>
        </w:rPr>
        <w:t>李剑峰</w:t>
      </w:r>
      <w:r>
        <w:rPr>
          <w:rFonts w:hint="eastAsia"/>
          <w:highlight w:val="none"/>
          <w:lang w:eastAsia="zh-CN"/>
        </w:rPr>
        <w:t>、</w:t>
      </w:r>
      <w:r>
        <w:rPr>
          <w:rFonts w:hint="eastAsia"/>
          <w:highlight w:val="none"/>
        </w:rPr>
        <w:t>周永文、郭卫东、陈炫廷、叶树锦、王瑰瑰、朱彩霞、谢月、黄嘉盛、李濛、韩卓展</w:t>
      </w:r>
      <w:r>
        <w:rPr>
          <w:rFonts w:hint="eastAsia"/>
          <w:highlight w:val="none"/>
          <w:lang w:eastAsia="zh-CN"/>
        </w:rPr>
        <w:t>、</w:t>
      </w:r>
      <w:r>
        <w:rPr>
          <w:rFonts w:hint="eastAsia"/>
          <w:highlight w:val="none"/>
          <w:lang w:val="en-US" w:eastAsia="zh-CN"/>
        </w:rPr>
        <w:t>廖晓清</w:t>
      </w:r>
    </w:p>
    <w:p w14:paraId="04EEDFF8">
      <w:pPr>
        <w:pStyle w:val="57"/>
        <w:ind w:firstLine="420"/>
        <w:rPr>
          <w:rFonts w:hint="eastAsia"/>
        </w:rPr>
      </w:pPr>
    </w:p>
    <w:p w14:paraId="2DE1B224">
      <w:pPr>
        <w:pStyle w:val="57"/>
        <w:ind w:firstLine="420"/>
        <w:rPr>
          <w:rFonts w:hint="eastAsia"/>
        </w:rPr>
        <w:sectPr>
          <w:pgSz w:w="11906" w:h="16838"/>
          <w:pgMar w:top="1928" w:right="1134" w:bottom="1134" w:left="1134" w:header="1418" w:footer="1134" w:gutter="284"/>
          <w:pgNumType w:fmt="upperRoman"/>
          <w:cols w:space="425" w:num="1"/>
          <w:formProt w:val="0"/>
          <w:docGrid w:linePitch="312" w:charSpace="0"/>
        </w:sectPr>
      </w:pPr>
    </w:p>
    <w:bookmarkEnd w:id="7"/>
    <w:p w14:paraId="4D620115">
      <w:pPr>
        <w:spacing w:line="20" w:lineRule="exact"/>
        <w:jc w:val="center"/>
        <w:rPr>
          <w:rFonts w:hint="eastAsia" w:ascii="黑体" w:hAnsi="黑体" w:eastAsia="黑体"/>
          <w:sz w:val="32"/>
          <w:szCs w:val="32"/>
        </w:rPr>
      </w:pPr>
      <w:bookmarkStart w:id="8" w:name="BookMark4"/>
    </w:p>
    <w:p w14:paraId="43D06B61">
      <w:pPr>
        <w:spacing w:line="20" w:lineRule="exact"/>
        <w:jc w:val="center"/>
        <w:rPr>
          <w:rFonts w:hint="eastAsia" w:ascii="黑体" w:hAnsi="黑体" w:eastAsia="黑体"/>
          <w:sz w:val="32"/>
          <w:szCs w:val="32"/>
        </w:rPr>
      </w:pPr>
    </w:p>
    <w:sdt>
      <w:sdtPr>
        <w:tag w:val="NEW_STAND_NAME"/>
        <w:id w:val="595910757"/>
        <w:lock w:val="sdtLocked"/>
        <w:placeholder>
          <w:docPart w:val="B70462E26DDA49859E0A20B258E077C0"/>
        </w:placeholder>
      </w:sdtPr>
      <w:sdtContent>
        <w:p w14:paraId="2DB43F88">
          <w:pPr>
            <w:pStyle w:val="177"/>
            <w:rPr>
              <w:rFonts w:hint="eastAsia"/>
            </w:rPr>
          </w:pPr>
          <w:bookmarkStart w:id="9" w:name="NEW_STAND_NAME"/>
          <w:r>
            <w:rPr>
              <w:rFonts w:hint="eastAsia"/>
            </w:rPr>
            <w:t>额定电压</w:t>
          </w:r>
          <w:r>
            <w:t>6kV（</w:t>
          </w:r>
          <w:r>
            <w:rPr>
              <w:i/>
            </w:rPr>
            <w:t>U</w:t>
          </w:r>
          <w:r>
            <w:rPr>
              <w:vertAlign w:val="subscript"/>
            </w:rPr>
            <w:t>m</w:t>
          </w:r>
          <w:r>
            <w:t>=7.2kV）至35kV（</w:t>
          </w:r>
          <w:r>
            <w:rPr>
              <w:i/>
            </w:rPr>
            <w:t>U</w:t>
          </w:r>
          <w:r>
            <w:rPr>
              <w:vertAlign w:val="subscript"/>
            </w:rPr>
            <w:t>m</w:t>
          </w:r>
          <w:r>
            <w:t xml:space="preserve"> =40.5kV）</w:t>
          </w:r>
          <w:r>
            <w:rPr>
              <w:rFonts w:hint="eastAsia"/>
            </w:rPr>
            <w:t>交联聚乙烯绝缘电力电缆熔接头</w:t>
          </w:r>
        </w:p>
      </w:sdtContent>
    </w:sdt>
    <w:bookmarkEnd w:id="9"/>
    <w:p w14:paraId="76F60F55">
      <w:pPr>
        <w:pStyle w:val="104"/>
        <w:spacing w:before="240" w:after="240"/>
      </w:pPr>
      <w:bookmarkStart w:id="10" w:name="_Toc24884211"/>
      <w:bookmarkStart w:id="11" w:name="_Toc26718930"/>
      <w:bookmarkStart w:id="12" w:name="_Toc97192964"/>
      <w:bookmarkStart w:id="13" w:name="_Toc26986771"/>
      <w:bookmarkStart w:id="14" w:name="_Toc17233325"/>
      <w:bookmarkStart w:id="15" w:name="_Toc26648465"/>
      <w:bookmarkStart w:id="16" w:name="_Toc181625029"/>
      <w:bookmarkStart w:id="17" w:name="_Toc181625001"/>
      <w:bookmarkStart w:id="18" w:name="_Toc24884218"/>
      <w:bookmarkStart w:id="19" w:name="_Toc17233333"/>
      <w:bookmarkStart w:id="20" w:name="_Toc26986530"/>
      <w:r>
        <w:rPr>
          <w:rFonts w:hint="eastAsia"/>
        </w:rPr>
        <w:t>范围</w:t>
      </w:r>
      <w:bookmarkEnd w:id="10"/>
      <w:bookmarkEnd w:id="11"/>
      <w:bookmarkEnd w:id="12"/>
      <w:bookmarkEnd w:id="13"/>
      <w:bookmarkEnd w:id="14"/>
      <w:bookmarkEnd w:id="15"/>
      <w:bookmarkEnd w:id="16"/>
      <w:bookmarkEnd w:id="17"/>
      <w:bookmarkEnd w:id="18"/>
      <w:bookmarkEnd w:id="19"/>
      <w:bookmarkEnd w:id="20"/>
    </w:p>
    <w:p w14:paraId="7E4CC9D0">
      <w:pPr>
        <w:pStyle w:val="57"/>
        <w:ind w:firstLine="420"/>
        <w:rPr>
          <w:rFonts w:ascii="Times New Roman"/>
          <w:szCs w:val="21"/>
        </w:rPr>
      </w:pPr>
      <w:bookmarkStart w:id="21" w:name="_Toc17233334"/>
      <w:bookmarkStart w:id="22" w:name="_Toc17233326"/>
      <w:bookmarkStart w:id="23" w:name="_Toc24884212"/>
      <w:bookmarkStart w:id="24" w:name="_Toc24884219"/>
      <w:bookmarkStart w:id="25" w:name="_Toc26648466"/>
      <w:r>
        <w:t>本文件规定了额定电压</w:t>
      </w:r>
      <w:r>
        <w:rPr>
          <w:rFonts w:ascii="Times New Roman"/>
        </w:rPr>
        <w:t>6kV</w:t>
      </w:r>
      <w:r>
        <w:t>（</w:t>
      </w:r>
      <w:r>
        <w:rPr>
          <w:rFonts w:ascii="Times New Roman"/>
          <w:i/>
        </w:rPr>
        <w:t>U</w:t>
      </w:r>
      <w:r>
        <w:rPr>
          <w:rFonts w:ascii="Times New Roman"/>
          <w:vertAlign w:val="subscript"/>
        </w:rPr>
        <w:t>m</w:t>
      </w:r>
      <w:r>
        <w:rPr>
          <w:rFonts w:ascii="Times New Roman"/>
        </w:rPr>
        <w:t xml:space="preserve"> =7.2kV</w:t>
      </w:r>
      <w:r>
        <w:t>）至</w:t>
      </w:r>
      <w:r>
        <w:rPr>
          <w:rFonts w:ascii="Times New Roman"/>
        </w:rPr>
        <w:t>35kV</w:t>
      </w:r>
      <w:r>
        <w:t>（</w:t>
      </w:r>
      <w:r>
        <w:rPr>
          <w:rFonts w:ascii="Times New Roman"/>
          <w:i/>
        </w:rPr>
        <w:t>U</w:t>
      </w:r>
      <w:r>
        <w:rPr>
          <w:rFonts w:ascii="Times New Roman"/>
          <w:vertAlign w:val="subscript"/>
        </w:rPr>
        <w:t>m</w:t>
      </w:r>
      <w:r>
        <w:rPr>
          <w:rFonts w:ascii="Times New Roman"/>
        </w:rPr>
        <w:t xml:space="preserve"> =40.5kV</w:t>
      </w:r>
      <w:r>
        <w:t>）交联聚乙烯绝缘电力电缆熔接头的使用条件、技术要求、试验、检验验收规则和包装、运输及贮存。</w:t>
      </w:r>
    </w:p>
    <w:p w14:paraId="58B7224B">
      <w:pPr>
        <w:pStyle w:val="57"/>
        <w:ind w:firstLine="420"/>
      </w:pPr>
      <w:r>
        <w:t>本文件适用于额定电压</w:t>
      </w:r>
      <w:r>
        <w:rPr>
          <w:rFonts w:ascii="Times New Roman"/>
        </w:rPr>
        <w:t>6kV</w:t>
      </w:r>
      <w:r>
        <w:t>（</w:t>
      </w:r>
      <w:r>
        <w:rPr>
          <w:rFonts w:ascii="Times New Roman"/>
          <w:i/>
        </w:rPr>
        <w:t>U</w:t>
      </w:r>
      <w:r>
        <w:rPr>
          <w:rFonts w:ascii="Times New Roman"/>
          <w:vertAlign w:val="subscript"/>
        </w:rPr>
        <w:t>m</w:t>
      </w:r>
      <w:r>
        <w:rPr>
          <w:rFonts w:ascii="Times New Roman"/>
        </w:rPr>
        <w:t xml:space="preserve"> =7.2kV</w:t>
      </w:r>
      <w:r>
        <w:t>）至</w:t>
      </w:r>
      <w:r>
        <w:rPr>
          <w:rFonts w:ascii="Times New Roman"/>
        </w:rPr>
        <w:t>35kV</w:t>
      </w:r>
      <w:r>
        <w:t>（</w:t>
      </w:r>
      <w:r>
        <w:rPr>
          <w:rFonts w:ascii="Times New Roman"/>
          <w:i/>
        </w:rPr>
        <w:t>U</w:t>
      </w:r>
      <w:r>
        <w:rPr>
          <w:rFonts w:ascii="Times New Roman"/>
          <w:vertAlign w:val="subscript"/>
        </w:rPr>
        <w:t>m</w:t>
      </w:r>
      <w:r>
        <w:rPr>
          <w:rFonts w:ascii="Times New Roman"/>
        </w:rPr>
        <w:t xml:space="preserve"> =40.5kV</w:t>
      </w:r>
      <w:r>
        <w:t>）交联聚乙烯绝缘电力电缆熔接头。</w:t>
      </w:r>
    </w:p>
    <w:p w14:paraId="04AB7F2D">
      <w:pPr>
        <w:pStyle w:val="104"/>
        <w:spacing w:before="240" w:after="240"/>
      </w:pPr>
      <w:bookmarkStart w:id="26" w:name="_Toc181625030"/>
      <w:bookmarkStart w:id="27" w:name="_Toc97192965"/>
      <w:bookmarkStart w:id="28" w:name="_Toc26718931"/>
      <w:bookmarkStart w:id="29" w:name="_Toc26986531"/>
      <w:bookmarkStart w:id="30" w:name="_Toc181625002"/>
      <w:bookmarkStart w:id="31" w:name="_Toc26986772"/>
      <w:r>
        <w:rPr>
          <w:rFonts w:hint="eastAsia"/>
        </w:rPr>
        <w:t>规范性引用文件</w:t>
      </w:r>
      <w:bookmarkEnd w:id="21"/>
      <w:bookmarkEnd w:id="22"/>
      <w:bookmarkEnd w:id="23"/>
      <w:bookmarkEnd w:id="24"/>
      <w:bookmarkEnd w:id="25"/>
      <w:bookmarkEnd w:id="26"/>
      <w:bookmarkEnd w:id="27"/>
      <w:bookmarkEnd w:id="28"/>
      <w:bookmarkEnd w:id="29"/>
      <w:bookmarkEnd w:id="30"/>
      <w:bookmarkEnd w:id="31"/>
    </w:p>
    <w:sdt>
      <w:sdtPr>
        <w:rPr>
          <w:rFonts w:hint="eastAsia"/>
        </w:rPr>
        <w:id w:val="715848253"/>
        <w:placeholder>
          <w:docPart w:val="24FBA06941704247B0C411044D98E9B8"/>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14:paraId="423A925A">
          <w:pPr>
            <w:pStyle w:val="57"/>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59B7F435">
      <w:pPr>
        <w:pStyle w:val="57"/>
        <w:ind w:firstLine="420"/>
      </w:pPr>
      <w:r>
        <w:t>GB/T 156</w:t>
      </w:r>
      <w:r>
        <w:rPr>
          <w:rFonts w:hint="eastAsia"/>
        </w:rPr>
        <w:t>—</w:t>
      </w:r>
      <w:r>
        <w:t>2017 标准电压</w:t>
      </w:r>
    </w:p>
    <w:p w14:paraId="0120826E">
      <w:pPr>
        <w:pStyle w:val="57"/>
        <w:ind w:firstLine="420"/>
      </w:pPr>
      <w:r>
        <w:t>GB/T 12706.2</w:t>
      </w:r>
      <w:r>
        <w:rPr>
          <w:rFonts w:hint="eastAsia"/>
        </w:rPr>
        <w:t>—</w:t>
      </w:r>
      <w:r>
        <w:t>2020 额定电压1kV（</w:t>
      </w:r>
      <w:r>
        <w:rPr>
          <w:i/>
        </w:rPr>
        <w:t>U</w:t>
      </w:r>
      <w:r>
        <w:rPr>
          <w:vertAlign w:val="subscript"/>
        </w:rPr>
        <w:t>m</w:t>
      </w:r>
      <w:r>
        <w:t>=1.2kV）到35kV（</w:t>
      </w:r>
      <w:r>
        <w:rPr>
          <w:i/>
        </w:rPr>
        <w:t>U</w:t>
      </w:r>
      <w:r>
        <w:rPr>
          <w:vertAlign w:val="subscript"/>
        </w:rPr>
        <w:t>m</w:t>
      </w:r>
      <w:r>
        <w:t xml:space="preserve"> =40.5kV）挤包绝缘电力电缆及附件第2部分：额定电压6kV（</w:t>
      </w:r>
      <w:r>
        <w:rPr>
          <w:i/>
        </w:rPr>
        <w:t>U</w:t>
      </w:r>
      <w:r>
        <w:rPr>
          <w:vertAlign w:val="subscript"/>
        </w:rPr>
        <w:t>m</w:t>
      </w:r>
      <w:r>
        <w:t xml:space="preserve"> =7.2kV）至30kV（</w:t>
      </w:r>
      <w:r>
        <w:rPr>
          <w:i/>
        </w:rPr>
        <w:t>U</w:t>
      </w:r>
      <w:r>
        <w:rPr>
          <w:vertAlign w:val="subscript"/>
        </w:rPr>
        <w:t>m</w:t>
      </w:r>
      <w:r>
        <w:t xml:space="preserve"> =36kV）电缆</w:t>
      </w:r>
    </w:p>
    <w:p w14:paraId="57385C06">
      <w:pPr>
        <w:pStyle w:val="57"/>
        <w:ind w:firstLine="420"/>
      </w:pPr>
      <w:r>
        <w:t>GB/T 12706.3</w:t>
      </w:r>
      <w:r>
        <w:rPr>
          <w:rFonts w:hint="eastAsia"/>
        </w:rPr>
        <w:t>—</w:t>
      </w:r>
      <w:r>
        <w:t>2020 额定电压1kV（</w:t>
      </w:r>
      <w:r>
        <w:rPr>
          <w:i/>
        </w:rPr>
        <w:t>U</w:t>
      </w:r>
      <w:r>
        <w:rPr>
          <w:vertAlign w:val="subscript"/>
        </w:rPr>
        <w:t>m</w:t>
      </w:r>
      <w:r>
        <w:t xml:space="preserve"> =1.2kV）到35kV（</w:t>
      </w:r>
      <w:r>
        <w:rPr>
          <w:i/>
        </w:rPr>
        <w:t>U</w:t>
      </w:r>
      <w:r>
        <w:rPr>
          <w:vertAlign w:val="subscript"/>
        </w:rPr>
        <w:t>m</w:t>
      </w:r>
      <w:r>
        <w:t xml:space="preserve"> =40.5kV）挤包绝缘电力电缆及附件第3部分：额定电压35kV（</w:t>
      </w:r>
      <w:r>
        <w:rPr>
          <w:i/>
        </w:rPr>
        <w:t>U</w:t>
      </w:r>
      <w:r>
        <w:rPr>
          <w:vertAlign w:val="subscript"/>
        </w:rPr>
        <w:t>m</w:t>
      </w:r>
      <w:r>
        <w:t xml:space="preserve"> =40.5kV）电缆</w:t>
      </w:r>
    </w:p>
    <w:p w14:paraId="282F3683">
      <w:pPr>
        <w:pStyle w:val="57"/>
        <w:ind w:firstLine="420"/>
      </w:pPr>
      <w:r>
        <w:t>GB/T 12706.4</w:t>
      </w:r>
      <w:r>
        <w:rPr>
          <w:rFonts w:hint="eastAsia"/>
        </w:rPr>
        <w:t>—</w:t>
      </w:r>
      <w:r>
        <w:t>2020 额定电压1kV（</w:t>
      </w:r>
      <w:r>
        <w:rPr>
          <w:i/>
        </w:rPr>
        <w:t>U</w:t>
      </w:r>
      <w:r>
        <w:rPr>
          <w:vertAlign w:val="subscript"/>
        </w:rPr>
        <w:t>m</w:t>
      </w:r>
      <w:r>
        <w:t xml:space="preserve"> =1.2kV）到35kV（</w:t>
      </w:r>
      <w:r>
        <w:rPr>
          <w:i/>
        </w:rPr>
        <w:t>U</w:t>
      </w:r>
      <w:r>
        <w:rPr>
          <w:vertAlign w:val="subscript"/>
        </w:rPr>
        <w:t>m</w:t>
      </w:r>
      <w:r>
        <w:t xml:space="preserve"> =40.5kV）挤包绝缘电力电缆及附件第4部分：额定电压6kV（</w:t>
      </w:r>
      <w:r>
        <w:rPr>
          <w:i/>
        </w:rPr>
        <w:t>U</w:t>
      </w:r>
      <w:r>
        <w:rPr>
          <w:vertAlign w:val="subscript"/>
        </w:rPr>
        <w:t>m</w:t>
      </w:r>
      <w:r>
        <w:t xml:space="preserve"> =7.2kV）至35kV（</w:t>
      </w:r>
      <w:r>
        <w:rPr>
          <w:i/>
        </w:rPr>
        <w:t>U</w:t>
      </w:r>
      <w:r>
        <w:rPr>
          <w:vertAlign w:val="subscript"/>
        </w:rPr>
        <w:t>m</w:t>
      </w:r>
      <w:r>
        <w:t xml:space="preserve"> =40.5kV）电力电缆附件试验要求</w:t>
      </w:r>
    </w:p>
    <w:p w14:paraId="364B06D9">
      <w:pPr>
        <w:pStyle w:val="57"/>
        <w:ind w:firstLine="420"/>
      </w:pPr>
      <w:r>
        <w:t>GB 50150</w:t>
      </w:r>
      <w:r>
        <w:rPr>
          <w:rFonts w:hint="eastAsia"/>
        </w:rPr>
        <w:t>—</w:t>
      </w:r>
      <w:r>
        <w:t>2016 电气装置安装工程电气设备交接试验标准</w:t>
      </w:r>
    </w:p>
    <w:p w14:paraId="775282B4">
      <w:pPr>
        <w:pStyle w:val="57"/>
        <w:ind w:firstLine="420"/>
      </w:pPr>
      <w:r>
        <w:t>GB/T 18889</w:t>
      </w:r>
      <w:r>
        <w:rPr>
          <w:rFonts w:hint="eastAsia"/>
        </w:rPr>
        <w:t>—</w:t>
      </w:r>
      <w:r>
        <w:t>2002 额定电压 6 kV （</w:t>
      </w:r>
      <w:r>
        <w:rPr>
          <w:i/>
        </w:rPr>
        <w:t>U</w:t>
      </w:r>
      <w:r>
        <w:rPr>
          <w:vertAlign w:val="subscript"/>
        </w:rPr>
        <w:t>m</w:t>
      </w:r>
      <w:r>
        <w:t xml:space="preserve"> =7.2kV）到35 kV （</w:t>
      </w:r>
      <w:r>
        <w:rPr>
          <w:i/>
        </w:rPr>
        <w:t>U</w:t>
      </w:r>
      <w:r>
        <w:rPr>
          <w:vertAlign w:val="subscript"/>
        </w:rPr>
        <w:t>m</w:t>
      </w:r>
      <w:r>
        <w:t xml:space="preserve"> =40.5kV）电力电缆附件试验方法</w:t>
      </w:r>
    </w:p>
    <w:p w14:paraId="336D255C">
      <w:pPr>
        <w:pStyle w:val="57"/>
        <w:ind w:firstLine="420"/>
      </w:pPr>
      <w:r>
        <w:t>GB/T 3375焊接术语</w:t>
      </w:r>
    </w:p>
    <w:p w14:paraId="7D3EF889">
      <w:pPr>
        <w:pStyle w:val="57"/>
        <w:ind w:firstLine="420"/>
      </w:pPr>
      <w:r>
        <w:t>GB/T 6543 运输包装用单瓦楞纸箱和双瓦楞纸箱</w:t>
      </w:r>
    </w:p>
    <w:p w14:paraId="73D18FDC">
      <w:pPr>
        <w:pStyle w:val="57"/>
        <w:ind w:firstLine="420"/>
      </w:pPr>
      <w:r>
        <w:t>DL/T 1315电力工程接地装置放热焊剂技术条件。</w:t>
      </w:r>
    </w:p>
    <w:p w14:paraId="4988E0EF">
      <w:pPr>
        <w:pStyle w:val="57"/>
        <w:ind w:firstLine="420"/>
      </w:pPr>
      <w:r>
        <w:t>DL/T 5756额定电压35kV（</w:t>
      </w:r>
      <w:r>
        <w:rPr>
          <w:i/>
        </w:rPr>
        <w:t>U</w:t>
      </w:r>
      <w:r>
        <w:rPr>
          <w:vertAlign w:val="subscript"/>
        </w:rPr>
        <w:t>m</w:t>
      </w:r>
      <w:r>
        <w:t xml:space="preserve"> =40.5kV）及以下冷缩式电缆附件安装规程</w:t>
      </w:r>
    </w:p>
    <w:p w14:paraId="5C0D5897">
      <w:pPr>
        <w:pStyle w:val="57"/>
        <w:ind w:firstLine="420"/>
      </w:pPr>
      <w:r>
        <w:t>T/CEC 118-2016 额定电压35kV（</w:t>
      </w:r>
      <w:r>
        <w:rPr>
          <w:i/>
        </w:rPr>
        <w:t>U</w:t>
      </w:r>
      <w:r>
        <w:rPr>
          <w:vertAlign w:val="subscript"/>
        </w:rPr>
        <w:t>m</w:t>
      </w:r>
      <w:r>
        <w:t xml:space="preserve"> =40.5kV）及以下冷缩电缆附件技术规范</w:t>
      </w:r>
    </w:p>
    <w:p w14:paraId="070C8727">
      <w:pPr>
        <w:pStyle w:val="104"/>
        <w:spacing w:before="240" w:after="240"/>
      </w:pPr>
      <w:bookmarkStart w:id="32" w:name="_Toc181625031"/>
      <w:bookmarkStart w:id="33" w:name="_Toc181625003"/>
      <w:bookmarkStart w:id="34" w:name="_Toc97192966"/>
      <w:r>
        <w:rPr>
          <w:rFonts w:hint="eastAsia"/>
          <w:szCs w:val="21"/>
        </w:rPr>
        <w:t>术语和定义</w:t>
      </w:r>
      <w:bookmarkEnd w:id="32"/>
      <w:bookmarkEnd w:id="33"/>
      <w:bookmarkEnd w:id="34"/>
    </w:p>
    <w:sdt>
      <w:sdtPr>
        <w:id w:val="-1909835108"/>
        <w:placeholder>
          <w:docPart w:val="0D68CEEFA0754F12AE8648159F156529"/>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06A9A509">
          <w:pPr>
            <w:pStyle w:val="57"/>
            <w:ind w:firstLine="420"/>
          </w:pPr>
          <w:bookmarkStart w:id="35" w:name="_Toc26986532"/>
          <w:bookmarkEnd w:id="35"/>
          <w:r>
            <w:t>下列术语和定义适用于本文件。</w:t>
          </w:r>
        </w:p>
      </w:sdtContent>
    </w:sdt>
    <w:p w14:paraId="6E0FB1E0">
      <w:pPr>
        <w:pStyle w:val="223"/>
        <w:ind w:left="420" w:hanging="420" w:hangingChars="200"/>
        <w:rPr>
          <w:rFonts w:ascii="黑体" w:hAnsi="黑体" w:eastAsia="黑体"/>
        </w:rPr>
      </w:pPr>
      <w:r>
        <w:rPr>
          <w:rFonts w:ascii="黑体" w:hAnsi="黑体" w:eastAsia="黑体"/>
        </w:rPr>
        <w:br w:type="textWrapping"/>
      </w:r>
      <w:r>
        <w:rPr>
          <w:rFonts w:hint="eastAsia" w:ascii="黑体" w:hAnsi="黑体" w:eastAsia="黑体"/>
        </w:rPr>
        <w:t xml:space="preserve">电缆熔接头 </w:t>
      </w:r>
      <w:r>
        <w:rPr>
          <w:rFonts w:ascii="黑体" w:hAnsi="黑体" w:eastAsia="黑体"/>
        </w:rPr>
        <w:t>mould melt joint</w:t>
      </w:r>
    </w:p>
    <w:p w14:paraId="6B27E04C">
      <w:pPr>
        <w:pStyle w:val="57"/>
        <w:ind w:firstLine="420"/>
      </w:pPr>
      <w:r>
        <w:rPr>
          <w:rFonts w:hint="eastAsia"/>
        </w:rPr>
        <w:t>采用熔、融技术，按照所连接电缆本体结构，完成接头处导体、导体屏蔽层，绝缘层和绝缘屏蔽层与电缆相对应层熔融一体的接头。</w:t>
      </w:r>
    </w:p>
    <w:p w14:paraId="73D4C29C">
      <w:pPr>
        <w:pStyle w:val="223"/>
        <w:ind w:left="420" w:hanging="420" w:hangingChars="200"/>
        <w:rPr>
          <w:rFonts w:hint="eastAsia" w:ascii="黑体" w:hAnsi="黑体" w:eastAsia="黑体"/>
        </w:rPr>
      </w:pPr>
      <w:r>
        <w:rPr>
          <w:rFonts w:ascii="黑体" w:hAnsi="黑体" w:eastAsia="黑体"/>
          <w:szCs w:val="21"/>
          <w:highlight w:val="lightGray"/>
        </w:rPr>
        <w:br w:type="textWrapping"/>
      </w:r>
      <w:r>
        <w:rPr>
          <w:rFonts w:hint="eastAsia" w:ascii="黑体" w:hAnsi="黑体" w:eastAsia="黑体"/>
        </w:rPr>
        <w:t xml:space="preserve">放热焊接 </w:t>
      </w:r>
      <w:r>
        <w:rPr>
          <w:rFonts w:ascii="黑体" w:hAnsi="黑体" w:eastAsia="黑体"/>
        </w:rPr>
        <w:t>cadweld</w:t>
      </w:r>
    </w:p>
    <w:p w14:paraId="443AD661">
      <w:pPr>
        <w:pStyle w:val="57"/>
        <w:ind w:firstLine="420"/>
        <w:rPr>
          <w:rFonts w:hint="eastAsia"/>
        </w:rPr>
      </w:pPr>
      <w:r>
        <w:rPr>
          <w:rFonts w:hint="eastAsia"/>
        </w:rPr>
        <w:t>利用金属氧化物与铝之间的氧化还原反应，释放大量的热量生成高温熔融金属，进行焊接的方法。</w:t>
      </w:r>
    </w:p>
    <w:p w14:paraId="203F1CE2">
      <w:pPr>
        <w:pStyle w:val="223"/>
        <w:ind w:left="420" w:hanging="420" w:hangingChars="200"/>
        <w:rPr>
          <w:rFonts w:hint="eastAsia" w:ascii="黑体" w:hAnsi="黑体" w:eastAsia="黑体"/>
        </w:rPr>
      </w:pPr>
      <w:r>
        <w:rPr>
          <w:rFonts w:ascii="黑体" w:hAnsi="黑体" w:eastAsia="黑体"/>
        </w:rPr>
        <w:br w:type="textWrapping"/>
      </w:r>
      <w:r>
        <w:rPr>
          <w:rFonts w:hint="eastAsia" w:ascii="黑体" w:hAnsi="黑体" w:eastAsia="黑体"/>
        </w:rPr>
        <w:t xml:space="preserve">整体钎焊 </w:t>
      </w:r>
      <w:r>
        <w:rPr>
          <w:rFonts w:ascii="黑体" w:hAnsi="黑体" w:eastAsia="黑体"/>
        </w:rPr>
        <w:t>integral brazing</w:t>
      </w:r>
    </w:p>
    <w:p w14:paraId="3043D52E">
      <w:pPr>
        <w:pStyle w:val="57"/>
        <w:ind w:firstLine="420"/>
        <w:rPr>
          <w:rFonts w:hint="eastAsia"/>
        </w:rPr>
      </w:pPr>
      <w:r>
        <w:rPr>
          <w:rFonts w:hint="eastAsia"/>
        </w:rPr>
        <w:t>采用比电缆导体（铜或铝）熔化温度低的填充材料作钎料, 将电缆导体和钎料加热到高于钎料液相线而低于导体固相线的温度, 利用液态钎料在导体钎焊界面间隙中或表面上润湿, 填充钎焊间隙并与导体相互作用(溶解、扩散或界面反应等)实现一定形状和尺寸、符合连接需求的方法。</w:t>
      </w:r>
    </w:p>
    <w:p w14:paraId="1396D7F6">
      <w:pPr>
        <w:pStyle w:val="104"/>
        <w:spacing w:before="240" w:after="240"/>
      </w:pPr>
      <w:bookmarkStart w:id="36" w:name="_Toc181625032"/>
      <w:bookmarkStart w:id="37" w:name="_Toc181625004"/>
      <w:r>
        <w:rPr>
          <w:rFonts w:hint="eastAsia"/>
        </w:rPr>
        <w:t>使用特性</w:t>
      </w:r>
      <w:bookmarkEnd w:id="36"/>
      <w:bookmarkEnd w:id="37"/>
    </w:p>
    <w:p w14:paraId="1CE7AACC">
      <w:pPr>
        <w:pStyle w:val="105"/>
        <w:spacing w:before="120" w:after="120"/>
        <w:rPr>
          <w:rFonts w:hint="eastAsia"/>
        </w:rPr>
      </w:pPr>
      <w:bookmarkStart w:id="38" w:name="_Toc181625005"/>
      <w:bookmarkStart w:id="39" w:name="_Toc181625033"/>
      <w:r>
        <w:rPr>
          <w:rFonts w:hint="eastAsia"/>
        </w:rPr>
        <w:t>额定电压</w:t>
      </w:r>
      <w:bookmarkEnd w:id="38"/>
      <w:bookmarkEnd w:id="39"/>
    </w:p>
    <w:p w14:paraId="7E9010F3">
      <w:pPr>
        <w:pStyle w:val="57"/>
        <w:ind w:firstLine="420"/>
        <w:rPr>
          <w:rFonts w:hint="eastAsia"/>
        </w:rPr>
      </w:pPr>
      <w:r>
        <w:t xml:space="preserve">额定电压是电缆设计和电性能试验用的基准电压，本部分用 </w:t>
      </w:r>
      <w:r>
        <w:rPr>
          <w:i/>
        </w:rPr>
        <w:t>U</w:t>
      </w:r>
      <w:r>
        <w:rPr>
          <w:vertAlign w:val="subscript"/>
        </w:rPr>
        <w:t>0</w:t>
      </w:r>
      <w:r>
        <w:t>/</w:t>
      </w:r>
      <w:r>
        <w:rPr>
          <w:i/>
        </w:rPr>
        <w:t xml:space="preserve">U </w:t>
      </w:r>
      <w:r>
        <w:t xml:space="preserve">和 </w:t>
      </w:r>
      <w:r>
        <w:rPr>
          <w:i/>
        </w:rPr>
        <w:t>U</w:t>
      </w:r>
      <w:r>
        <w:t>m 标识：</w:t>
      </w:r>
    </w:p>
    <w:p w14:paraId="77E726FF">
      <w:pPr>
        <w:pStyle w:val="57"/>
        <w:ind w:firstLine="420"/>
      </w:pPr>
      <w:r>
        <w:rPr>
          <w:i/>
        </w:rPr>
        <w:t>U</w:t>
      </w:r>
      <w:r>
        <w:rPr>
          <w:vertAlign w:val="subscript"/>
        </w:rPr>
        <w:t>0</w:t>
      </w:r>
      <w:r>
        <w:t>——电缆和电缆附件设计用的导体对地或金属屏蔽之间的额定工频电压；</w:t>
      </w:r>
    </w:p>
    <w:p w14:paraId="79CFF40D">
      <w:pPr>
        <w:pStyle w:val="57"/>
        <w:ind w:firstLine="420"/>
      </w:pPr>
      <w:r>
        <w:rPr>
          <w:i/>
        </w:rPr>
        <w:t>U</w:t>
      </w:r>
      <w:r>
        <w:t>——电缆和电缆附件设计用的导体之间的额定工频电压；</w:t>
      </w:r>
    </w:p>
    <w:p w14:paraId="39D29AD2">
      <w:pPr>
        <w:pStyle w:val="57"/>
        <w:ind w:firstLine="420"/>
      </w:pPr>
      <w:r>
        <w:rPr>
          <w:i/>
        </w:rPr>
        <w:t>U</w:t>
      </w:r>
      <w:r>
        <w:rPr>
          <w:vertAlign w:val="subscript"/>
        </w:rPr>
        <w:t>m</w:t>
      </w:r>
      <w:r>
        <w:t>——设备可使用的“最高系统电压”的最大值（见GB/T 156）。</w:t>
      </w:r>
    </w:p>
    <w:p w14:paraId="5F8A4D1E">
      <w:pPr>
        <w:pStyle w:val="105"/>
        <w:spacing w:before="120" w:after="120"/>
      </w:pPr>
      <w:bookmarkStart w:id="40" w:name="_Toc181625006"/>
      <w:bookmarkStart w:id="41" w:name="_Toc181625034"/>
      <w:r>
        <w:rPr>
          <w:rFonts w:hint="eastAsia"/>
        </w:rPr>
        <w:t>工作温度</w:t>
      </w:r>
      <w:bookmarkEnd w:id="40"/>
      <w:bookmarkEnd w:id="41"/>
      <w:r>
        <w:rPr>
          <w:rFonts w:hint="eastAsia"/>
        </w:rPr>
        <w:t xml:space="preserve">                                                                                                                                                                                                                                                                                                                                      </w:t>
      </w:r>
    </w:p>
    <w:p w14:paraId="57BD6824">
      <w:pPr>
        <w:pStyle w:val="57"/>
        <w:ind w:firstLine="420"/>
        <w:rPr>
          <w:rFonts w:hint="eastAsia"/>
        </w:rPr>
      </w:pPr>
      <w:r>
        <w:t>熔接头适用于GB/T 12706.2和GB/T 12706.3中规定的电缆正常运行时导体最高温度(90</w:t>
      </w:r>
      <w:r>
        <w:rPr>
          <w:rFonts w:hint="eastAsia"/>
        </w:rPr>
        <w:t>℃</w:t>
      </w:r>
      <w:r>
        <w:t>）和短路时导体最高温度（250</w:t>
      </w:r>
      <w:r>
        <w:rPr>
          <w:rFonts w:hint="eastAsia"/>
        </w:rPr>
        <w:t>℃</w:t>
      </w:r>
      <w:r>
        <w:t>）。</w:t>
      </w:r>
    </w:p>
    <w:p w14:paraId="18510AAB">
      <w:pPr>
        <w:pStyle w:val="105"/>
        <w:spacing w:before="120" w:after="120"/>
      </w:pPr>
      <w:bookmarkStart w:id="42" w:name="_Toc181625007"/>
      <w:bookmarkStart w:id="43" w:name="_Toc181625035"/>
      <w:r>
        <w:rPr>
          <w:rFonts w:hint="eastAsia"/>
        </w:rPr>
        <w:t>安装、使用条件</w:t>
      </w:r>
      <w:bookmarkEnd w:id="42"/>
      <w:bookmarkEnd w:id="43"/>
    </w:p>
    <w:p w14:paraId="7812F093">
      <w:pPr>
        <w:pStyle w:val="66"/>
        <w:spacing w:before="120" w:after="120"/>
        <w:rPr>
          <w:rFonts w:hint="eastAsia"/>
        </w:rPr>
      </w:pPr>
      <w:r>
        <w:rPr>
          <w:rFonts w:hint="eastAsia"/>
        </w:rPr>
        <w:t>安装条件</w:t>
      </w:r>
    </w:p>
    <w:p w14:paraId="09A428EC">
      <w:pPr>
        <w:pStyle w:val="57"/>
        <w:ind w:firstLine="420"/>
        <w:rPr>
          <w:rFonts w:hint="eastAsia"/>
        </w:rPr>
      </w:pPr>
      <w:r>
        <w:t>电缆中间接头安装应符合DL/T 5756</w:t>
      </w:r>
      <w:r>
        <w:rPr>
          <w:rFonts w:hint="eastAsia"/>
        </w:rPr>
        <w:t>《</w:t>
      </w:r>
      <w:r>
        <w:t>额定电压35kV（</w:t>
      </w:r>
      <w:r>
        <w:rPr>
          <w:i/>
        </w:rPr>
        <w:t>U</w:t>
      </w:r>
      <w:r>
        <w:rPr>
          <w:vertAlign w:val="subscript"/>
        </w:rPr>
        <w:t>m</w:t>
      </w:r>
      <w:r>
        <w:t>=40.5kV）及以下冷缩式电缆附件安装规程</w:t>
      </w:r>
      <w:r>
        <w:rPr>
          <w:rFonts w:hint="eastAsia"/>
        </w:rPr>
        <w:t>》“</w:t>
      </w:r>
      <w:r>
        <w:t>3.1 安装环境要求</w:t>
      </w:r>
      <w:r>
        <w:rPr>
          <w:rFonts w:hint="eastAsia"/>
        </w:rPr>
        <w:t>”</w:t>
      </w:r>
      <w:r>
        <w:t>的规定。</w:t>
      </w:r>
    </w:p>
    <w:p w14:paraId="79C2A066">
      <w:pPr>
        <w:pStyle w:val="57"/>
        <w:ind w:firstLine="420"/>
      </w:pPr>
      <w:r>
        <w:t>电缆中间接头施工所涉及的场地（如工井、敞开井或沟（遂）道等）的土建工作及装修工作应在电缆附件安装前完成。施工场地宜清理干净，无积水、杂物。土建设施设计应满足电缆附件施工、运行及检修要求。电缆附件安装应严格控制施工现场的温度、湿度与清洁度。温度宜控制在0</w:t>
      </w:r>
      <w:r>
        <w:rPr>
          <w:rFonts w:hint="eastAsia"/>
        </w:rPr>
        <w:t>℃</w:t>
      </w:r>
      <w:r>
        <w:t>~35</w:t>
      </w:r>
      <w:r>
        <w:rPr>
          <w:rFonts w:hint="eastAsia"/>
        </w:rPr>
        <w:t>℃</w:t>
      </w:r>
      <w:r>
        <w:t>，相对湿度应控制在70%及以下。当浮尘较多时应搭制附件工棚进行隔离，并采取适当措施净化施工环境。</w:t>
      </w:r>
    </w:p>
    <w:p w14:paraId="3A9071E0">
      <w:pPr>
        <w:pStyle w:val="66"/>
        <w:spacing w:before="120" w:after="120"/>
      </w:pPr>
      <w:r>
        <w:rPr>
          <w:rFonts w:hint="eastAsia"/>
        </w:rPr>
        <w:t>使用条件</w:t>
      </w:r>
    </w:p>
    <w:p w14:paraId="526D6BED">
      <w:pPr>
        <w:pStyle w:val="57"/>
        <w:ind w:firstLine="420"/>
        <w:rPr>
          <w:rFonts w:hint="eastAsia"/>
        </w:rPr>
      </w:pPr>
      <w:r>
        <w:rPr>
          <w:rFonts w:hint="eastAsia"/>
        </w:rPr>
        <w:t>适应的环境温度范</w:t>
      </w:r>
      <w:r>
        <w:t>围：-40</w:t>
      </w:r>
      <w:r>
        <w:rPr>
          <w:rFonts w:hint="eastAsia"/>
        </w:rPr>
        <w:t>℃</w:t>
      </w:r>
      <w:r>
        <w:t>～45</w:t>
      </w:r>
      <w:r>
        <w:rPr>
          <w:rFonts w:hint="eastAsia"/>
        </w:rPr>
        <w:t>℃</w:t>
      </w:r>
      <w:r>
        <w:t>。</w:t>
      </w:r>
    </w:p>
    <w:p w14:paraId="085F00E1">
      <w:pPr>
        <w:pStyle w:val="104"/>
        <w:spacing w:before="240" w:after="240"/>
      </w:pPr>
      <w:bookmarkStart w:id="44" w:name="_Toc181609521"/>
      <w:bookmarkEnd w:id="44"/>
      <w:bookmarkStart w:id="45" w:name="_Toc181625008"/>
      <w:bookmarkStart w:id="46" w:name="_Toc181609441"/>
      <w:bookmarkStart w:id="47" w:name="_Toc181625036"/>
      <w:r>
        <w:rPr>
          <w:rFonts w:hint="eastAsia"/>
        </w:rPr>
        <w:t>产品的型号和表示方法</w:t>
      </w:r>
      <w:bookmarkEnd w:id="45"/>
      <w:bookmarkEnd w:id="46"/>
      <w:bookmarkEnd w:id="47"/>
    </w:p>
    <w:p w14:paraId="3FB1655F">
      <w:pPr>
        <w:pStyle w:val="105"/>
        <w:spacing w:before="120" w:after="120"/>
        <w:rPr>
          <w:rFonts w:hint="eastAsia"/>
        </w:rPr>
      </w:pPr>
      <w:bookmarkStart w:id="48" w:name="_Toc181609442"/>
      <w:bookmarkEnd w:id="48"/>
      <w:bookmarkStart w:id="49" w:name="_Toc181609522"/>
      <w:bookmarkStart w:id="50" w:name="_Toc181625009"/>
      <w:bookmarkStart w:id="51" w:name="_Toc181625037"/>
      <w:r>
        <w:rPr>
          <w:rFonts w:hint="eastAsia"/>
        </w:rPr>
        <w:t>代号</w:t>
      </w:r>
      <w:bookmarkEnd w:id="49"/>
      <w:bookmarkEnd w:id="50"/>
      <w:bookmarkEnd w:id="51"/>
    </w:p>
    <w:p w14:paraId="138AB8BE">
      <w:pPr>
        <w:pStyle w:val="66"/>
        <w:spacing w:before="120" w:after="120"/>
        <w:rPr>
          <w:rFonts w:hint="eastAsia"/>
        </w:rPr>
      </w:pPr>
      <w:bookmarkStart w:id="52" w:name="_Toc181609523"/>
      <w:bookmarkEnd w:id="52"/>
      <w:bookmarkStart w:id="53" w:name="_Toc181609443"/>
      <w:r>
        <w:rPr>
          <w:rFonts w:hint="eastAsia"/>
        </w:rPr>
        <w:t>应用系列</w:t>
      </w:r>
      <w:bookmarkEnd w:id="53"/>
    </w:p>
    <w:p w14:paraId="4BDE1296">
      <w:pPr>
        <w:pStyle w:val="57"/>
        <w:ind w:firstLine="420"/>
        <w:rPr>
          <w:rFonts w:hint="eastAsia"/>
        </w:rPr>
      </w:pPr>
      <w:r>
        <w:rPr>
          <w:rFonts w:hint="eastAsia"/>
        </w:rPr>
        <w:t>YJ——交联聚乙烯绝缘电力电缆</w:t>
      </w:r>
    </w:p>
    <w:p w14:paraId="217BDBDC">
      <w:pPr>
        <w:pStyle w:val="66"/>
        <w:spacing w:before="120" w:after="120"/>
        <w:rPr>
          <w:rFonts w:hint="eastAsia"/>
        </w:rPr>
      </w:pPr>
      <w:bookmarkStart w:id="54" w:name="_Toc181609524"/>
      <w:bookmarkEnd w:id="54"/>
      <w:bookmarkStart w:id="55" w:name="_Toc181609444"/>
      <w:r>
        <w:rPr>
          <w:rFonts w:hint="eastAsia"/>
        </w:rPr>
        <w:t>工艺特征</w:t>
      </w:r>
      <w:bookmarkEnd w:id="55"/>
    </w:p>
    <w:p w14:paraId="27AE58D2">
      <w:pPr>
        <w:pStyle w:val="57"/>
        <w:ind w:firstLine="420"/>
        <w:rPr>
          <w:rFonts w:hint="eastAsia"/>
        </w:rPr>
      </w:pPr>
      <w:r>
        <w:rPr>
          <w:rFonts w:hint="eastAsia"/>
        </w:rPr>
        <w:t>M——熔接式</w:t>
      </w:r>
    </w:p>
    <w:p w14:paraId="66923838">
      <w:pPr>
        <w:pStyle w:val="66"/>
        <w:spacing w:before="120" w:after="120"/>
        <w:rPr>
          <w:rFonts w:hint="eastAsia"/>
        </w:rPr>
      </w:pPr>
      <w:bookmarkStart w:id="56" w:name="_Toc181609445"/>
      <w:bookmarkEnd w:id="56"/>
      <w:bookmarkStart w:id="57" w:name="_Toc181609525"/>
      <w:r>
        <w:rPr>
          <w:rFonts w:hint="eastAsia"/>
        </w:rPr>
        <w:t>接头类型</w:t>
      </w:r>
      <w:bookmarkEnd w:id="57"/>
    </w:p>
    <w:p w14:paraId="1283A492">
      <w:pPr>
        <w:pStyle w:val="57"/>
        <w:ind w:firstLine="420"/>
        <w:rPr>
          <w:rFonts w:hint="eastAsia"/>
        </w:rPr>
      </w:pPr>
      <w:r>
        <w:rPr>
          <w:rFonts w:hint="eastAsia"/>
        </w:rPr>
        <w:t>J——中间接头</w:t>
      </w:r>
    </w:p>
    <w:p w14:paraId="5F4D41EA">
      <w:pPr>
        <w:pStyle w:val="66"/>
        <w:spacing w:before="120" w:after="120"/>
        <w:rPr>
          <w:rFonts w:hint="eastAsia"/>
        </w:rPr>
      </w:pPr>
      <w:bookmarkStart w:id="58" w:name="_Toc181609446"/>
      <w:bookmarkEnd w:id="58"/>
      <w:bookmarkStart w:id="59" w:name="_Toc181609526"/>
      <w:r>
        <w:rPr>
          <w:rFonts w:hint="eastAsia"/>
        </w:rPr>
        <w:t>按电压等级分</w:t>
      </w:r>
      <w:bookmarkEnd w:id="59"/>
    </w:p>
    <w:p w14:paraId="31E695C9">
      <w:pPr>
        <w:pStyle w:val="57"/>
        <w:ind w:firstLine="420"/>
        <w:rPr>
          <w:rFonts w:hint="eastAsia"/>
        </w:rPr>
      </w:pPr>
      <w:r>
        <w:t>本部分中额定电压</w:t>
      </w:r>
      <w:r>
        <w:rPr>
          <w:i/>
        </w:rPr>
        <w:t>U</w:t>
      </w:r>
      <w:r>
        <w:rPr>
          <w:vertAlign w:val="subscript"/>
        </w:rPr>
        <w:t>0</w:t>
      </w:r>
      <w:r>
        <w:t>/</w:t>
      </w:r>
      <w:r>
        <w:rPr>
          <w:i/>
        </w:rPr>
        <w:t>U</w:t>
      </w:r>
      <w:r>
        <w:t>(</w:t>
      </w:r>
      <w:r>
        <w:rPr>
          <w:i/>
        </w:rPr>
        <w:t>U</w:t>
      </w:r>
      <w:r>
        <w:rPr>
          <w:vertAlign w:val="subscript"/>
        </w:rPr>
        <w:t>m</w:t>
      </w:r>
      <w:r>
        <w:t>)标示为3.6/6(7.2)kV、6/6(7.2)kV、6/10(12)kV、8.7/10(12)kV、8.7/15(17.5)kV、12/20(24)kV、18/20(24)kV、18/30(36)kV、21/35(40.5)kV、26/35(40.5)kV。</w:t>
      </w:r>
    </w:p>
    <w:p w14:paraId="760D0972">
      <w:pPr>
        <w:pStyle w:val="66"/>
        <w:spacing w:before="120" w:after="120"/>
      </w:pPr>
      <w:bookmarkStart w:id="60" w:name="_Toc181609447"/>
      <w:bookmarkEnd w:id="60"/>
      <w:bookmarkStart w:id="61" w:name="_Toc181609527"/>
      <w:r>
        <w:rPr>
          <w:rFonts w:hint="eastAsia"/>
        </w:rPr>
        <w:t>按电缆芯数分</w:t>
      </w:r>
      <w:bookmarkEnd w:id="61"/>
    </w:p>
    <w:p w14:paraId="6D305AEA">
      <w:pPr>
        <w:pStyle w:val="57"/>
        <w:ind w:firstLine="420"/>
        <w:rPr>
          <w:rFonts w:hint="eastAsia"/>
        </w:rPr>
      </w:pPr>
      <w:r>
        <w:t>1</w:t>
      </w:r>
      <w:r>
        <w:rPr>
          <w:rFonts w:hint="eastAsia"/>
        </w:rPr>
        <w:t>——单芯</w:t>
      </w:r>
    </w:p>
    <w:p w14:paraId="731CB0A0">
      <w:pPr>
        <w:pStyle w:val="57"/>
        <w:ind w:firstLine="420"/>
        <w:rPr>
          <w:rFonts w:hint="eastAsia"/>
        </w:rPr>
      </w:pPr>
      <w:r>
        <w:t>3</w:t>
      </w:r>
      <w:r>
        <w:rPr>
          <w:rFonts w:hint="eastAsia"/>
        </w:rPr>
        <w:t>——三芯</w:t>
      </w:r>
    </w:p>
    <w:p w14:paraId="2EB0E070">
      <w:pPr>
        <w:pStyle w:val="105"/>
        <w:spacing w:before="120" w:after="120"/>
        <w:rPr>
          <w:rFonts w:hint="eastAsia"/>
        </w:rPr>
      </w:pPr>
      <w:bookmarkStart w:id="62" w:name="_Toc181609448"/>
      <w:bookmarkEnd w:id="62"/>
      <w:bookmarkStart w:id="63" w:name="_Toc181625038"/>
      <w:bookmarkStart w:id="64" w:name="_Toc181609528"/>
      <w:bookmarkStart w:id="65" w:name="_Toc181625010"/>
      <w:r>
        <w:rPr>
          <w:rFonts w:hint="eastAsia"/>
        </w:rPr>
        <w:t>产品的型号</w:t>
      </w:r>
      <w:bookmarkEnd w:id="63"/>
      <w:bookmarkEnd w:id="64"/>
      <w:bookmarkEnd w:id="65"/>
    </w:p>
    <w:p w14:paraId="529EFB55">
      <w:pPr>
        <w:pStyle w:val="57"/>
        <w:ind w:firstLine="420"/>
        <w:rPr>
          <w:rFonts w:hint="eastAsia"/>
        </w:rPr>
      </w:pPr>
      <w:r>
        <w:rPr>
          <w:rFonts w:hint="eastAsia"/>
        </w:rPr>
        <w:t>产品型号的组成和排列顺序如下：</w:t>
      </w:r>
    </w:p>
    <w:p w14:paraId="381CD322">
      <w:pPr>
        <w:pStyle w:val="57"/>
        <w:ind w:firstLine="420"/>
        <w:jc w:val="center"/>
        <w:rPr>
          <w:rFonts w:hint="eastAsia"/>
        </w:rPr>
      </w:pPr>
      <w:r>
        <w:rPr>
          <w:rFonts w:hint="eastAsia"/>
        </w:rPr>
        <w:drawing>
          <wp:inline distT="0" distB="0" distL="0" distR="0">
            <wp:extent cx="3297555" cy="1857375"/>
            <wp:effectExtent l="0" t="0" r="0" b="9525"/>
            <wp:docPr id="165889229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892298" name="图片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3297600" cy="1857600"/>
                    </a:xfrm>
                    <a:prstGeom prst="rect">
                      <a:avLst/>
                    </a:prstGeom>
                    <a:noFill/>
                    <a:ln>
                      <a:noFill/>
                    </a:ln>
                  </pic:spPr>
                </pic:pic>
              </a:graphicData>
            </a:graphic>
          </wp:inline>
        </w:drawing>
      </w:r>
    </w:p>
    <w:p w14:paraId="44DC7E5E">
      <w:pPr>
        <w:pStyle w:val="105"/>
        <w:spacing w:before="120" w:after="120"/>
        <w:rPr>
          <w:rFonts w:hint="eastAsia"/>
        </w:rPr>
      </w:pPr>
      <w:bookmarkStart w:id="66" w:name="_Toc181609449"/>
      <w:bookmarkEnd w:id="66"/>
      <w:bookmarkStart w:id="67" w:name="_Toc181609529"/>
      <w:bookmarkStart w:id="68" w:name="_Toc181625039"/>
      <w:bookmarkStart w:id="69" w:name="_Toc181625011"/>
      <w:r>
        <w:rPr>
          <w:rFonts w:hint="eastAsia"/>
        </w:rPr>
        <w:t>产品的表示方法</w:t>
      </w:r>
      <w:bookmarkEnd w:id="67"/>
      <w:bookmarkEnd w:id="68"/>
      <w:bookmarkEnd w:id="69"/>
    </w:p>
    <w:p w14:paraId="1288A227">
      <w:pPr>
        <w:pStyle w:val="57"/>
        <w:ind w:firstLine="420"/>
        <w:rPr>
          <w:rFonts w:hint="eastAsia"/>
        </w:rPr>
      </w:pPr>
      <w:r>
        <w:rPr>
          <w:rFonts w:hint="eastAsia"/>
        </w:rPr>
        <w:t>产品的表示方法示例如下：</w:t>
      </w:r>
    </w:p>
    <w:p w14:paraId="59E8ACC5">
      <w:pPr>
        <w:pStyle w:val="183"/>
        <w:rPr>
          <w:rFonts w:hint="eastAsia"/>
        </w:rPr>
      </w:pPr>
      <w:r>
        <w:t>示例：8.7/15kV 三芯400</w:t>
      </w:r>
      <w:r>
        <w:rPr>
          <w:rFonts w:hint="eastAsia"/>
        </w:rPr>
        <w:t xml:space="preserve"> </w:t>
      </w:r>
      <w:r>
        <w:t>mm²交联聚乙烯绝缘电力电缆熔接式直通接头，表示为：</w:t>
      </w:r>
    </w:p>
    <w:p w14:paraId="4E38EC7D">
      <w:pPr>
        <w:pStyle w:val="57"/>
        <w:ind w:firstLine="360"/>
        <w:rPr>
          <w:sz w:val="18"/>
          <w:szCs w:val="16"/>
        </w:rPr>
      </w:pPr>
      <w:r>
        <w:rPr>
          <w:sz w:val="18"/>
          <w:szCs w:val="16"/>
        </w:rPr>
        <w:t>YJMJ-8.7/15-3×400</w:t>
      </w:r>
      <w:r>
        <w:rPr>
          <w:rFonts w:hint="eastAsia"/>
          <w:sz w:val="18"/>
          <w:szCs w:val="16"/>
        </w:rPr>
        <w:t xml:space="preserve"> </w:t>
      </w:r>
      <w:r>
        <w:rPr>
          <w:sz w:val="18"/>
          <w:szCs w:val="16"/>
        </w:rPr>
        <w:t>mm²</w:t>
      </w:r>
    </w:p>
    <w:p w14:paraId="78D558F7">
      <w:pPr>
        <w:pStyle w:val="183"/>
      </w:pPr>
      <w:r>
        <w:t>示例：26/35kV 单芯630</w:t>
      </w:r>
      <w:r>
        <w:rPr>
          <w:rFonts w:hint="eastAsia"/>
        </w:rPr>
        <w:t xml:space="preserve"> </w:t>
      </w:r>
      <w:r>
        <w:t>mm²交联聚乙烯绝缘电力电缆熔接式直通接头，表示为：</w:t>
      </w:r>
    </w:p>
    <w:p w14:paraId="2BC2E89A">
      <w:pPr>
        <w:pStyle w:val="57"/>
        <w:ind w:firstLine="360"/>
        <w:rPr>
          <w:sz w:val="18"/>
          <w:szCs w:val="16"/>
        </w:rPr>
      </w:pPr>
      <w:r>
        <w:rPr>
          <w:sz w:val="18"/>
          <w:szCs w:val="16"/>
        </w:rPr>
        <w:t>YJMJ-26/35-1×630</w:t>
      </w:r>
      <w:r>
        <w:rPr>
          <w:rFonts w:hint="eastAsia"/>
          <w:sz w:val="18"/>
          <w:szCs w:val="16"/>
        </w:rPr>
        <w:t xml:space="preserve"> </w:t>
      </w:r>
      <w:r>
        <w:rPr>
          <w:sz w:val="18"/>
          <w:szCs w:val="16"/>
        </w:rPr>
        <w:t>mm²</w:t>
      </w:r>
    </w:p>
    <w:p w14:paraId="2DFE96F5">
      <w:pPr>
        <w:pStyle w:val="104"/>
        <w:spacing w:before="240" w:after="240"/>
      </w:pPr>
      <w:bookmarkStart w:id="70" w:name="_Toc181625012"/>
      <w:bookmarkStart w:id="71" w:name="_Toc181625040"/>
      <w:r>
        <w:rPr>
          <w:rFonts w:hint="eastAsia"/>
        </w:rPr>
        <w:t>技术要求</w:t>
      </w:r>
      <w:bookmarkEnd w:id="70"/>
      <w:bookmarkEnd w:id="71"/>
    </w:p>
    <w:p w14:paraId="1AF1FBAA">
      <w:pPr>
        <w:pStyle w:val="105"/>
        <w:spacing w:before="120" w:after="120"/>
        <w:rPr>
          <w:rFonts w:hint="eastAsia"/>
        </w:rPr>
      </w:pPr>
      <w:bookmarkStart w:id="72" w:name="_Toc181625041"/>
      <w:bookmarkStart w:id="73" w:name="_Toc181625013"/>
      <w:r>
        <w:rPr>
          <w:rFonts w:hint="eastAsia"/>
        </w:rPr>
        <w:t>导体焊接要求</w:t>
      </w:r>
      <w:bookmarkEnd w:id="72"/>
      <w:bookmarkEnd w:id="73"/>
    </w:p>
    <w:p w14:paraId="5050673F">
      <w:pPr>
        <w:pStyle w:val="165"/>
        <w:rPr>
          <w:rFonts w:hint="eastAsia"/>
        </w:rPr>
      </w:pPr>
      <w:r>
        <w:rPr>
          <w:rFonts w:hint="eastAsia"/>
        </w:rPr>
        <w:t>电缆线芯导体连接采用焊接技术，近似等径恢复。</w:t>
      </w:r>
    </w:p>
    <w:p w14:paraId="3795C875">
      <w:pPr>
        <w:pStyle w:val="165"/>
        <w:rPr>
          <w:rFonts w:hint="eastAsia"/>
        </w:rPr>
      </w:pPr>
      <w:r>
        <w:rPr>
          <w:rFonts w:hint="eastAsia"/>
        </w:rPr>
        <w:t>电缆线芯导体连接宜采用导体放热焊接工艺，放热焊接材料应符合DL/T 1315规定。</w:t>
      </w:r>
    </w:p>
    <w:p w14:paraId="083811EA">
      <w:pPr>
        <w:pStyle w:val="165"/>
        <w:rPr>
          <w:rFonts w:hint="eastAsia"/>
        </w:rPr>
      </w:pPr>
      <w:r>
        <w:rPr>
          <w:rFonts w:hint="eastAsia"/>
        </w:rPr>
        <w:t>电缆线芯导体连接处的机械强度、载流能力满足电缆线路的要求。焊接点直径不小于电缆导体直径，且二者直径差≤2mm，焊接点应表面光滑，不应有明显毛刺、台阶，应无贯穿性的气孔。</w:t>
      </w:r>
    </w:p>
    <w:p w14:paraId="6A13F694">
      <w:pPr>
        <w:pStyle w:val="165"/>
      </w:pPr>
      <w:r>
        <w:rPr>
          <w:rFonts w:hint="eastAsia"/>
        </w:rPr>
        <w:t>焊接试样每平方厘米剖面上不得超过1个气孔，单个气孔深度不超过焊接处导体的1/4直径，单最大单个气孔不得超过3mm。</w:t>
      </w:r>
    </w:p>
    <w:p w14:paraId="1AE76AED">
      <w:pPr>
        <w:pStyle w:val="165"/>
      </w:pPr>
      <w:r>
        <w:rPr>
          <w:rFonts w:hint="eastAsia"/>
        </w:rPr>
        <w:t>导体放热焊接时，距离放热焊接处最近的电缆绝缘断口的线芯导体温度在放热焊接时不宜超过80℃。导体放热焊接时应采取有效的防烟雾颗粒的过滤装置。</w:t>
      </w:r>
    </w:p>
    <w:p w14:paraId="3AFDD3CD">
      <w:pPr>
        <w:pStyle w:val="105"/>
        <w:spacing w:before="120" w:after="120"/>
      </w:pPr>
      <w:bookmarkStart w:id="74" w:name="_Toc181625042"/>
      <w:bookmarkStart w:id="75" w:name="_Toc181625014"/>
      <w:r>
        <w:rPr>
          <w:rFonts w:hint="eastAsia"/>
        </w:rPr>
        <w:t>屏蔽层要求</w:t>
      </w:r>
      <w:bookmarkEnd w:id="74"/>
      <w:bookmarkEnd w:id="75"/>
    </w:p>
    <w:p w14:paraId="36B320D0">
      <w:pPr>
        <w:pStyle w:val="165"/>
        <w:rPr>
          <w:rFonts w:hint="eastAsia"/>
        </w:rPr>
      </w:pPr>
      <w:r>
        <w:rPr>
          <w:rFonts w:hint="eastAsia"/>
        </w:rPr>
        <w:t>接头导体屏蔽应为半导体材料，由挤包的半导电料或在导体上先包半导电尼龙带再绕包交联型半导电带组成。</w:t>
      </w:r>
    </w:p>
    <w:p w14:paraId="10FE8E07">
      <w:pPr>
        <w:pStyle w:val="165"/>
        <w:rPr>
          <w:rFonts w:hint="eastAsia"/>
        </w:rPr>
      </w:pPr>
      <w:r>
        <w:rPr>
          <w:rFonts w:hint="eastAsia"/>
        </w:rPr>
        <w:t>接头非金属绝缘屏蔽层采用半导电涂漆及绕包半导电自粘带的方式制作。导体屏蔽与电缆本体的导体屏蔽熔融结合，无明显划伤、裂缝、凹痕和凸起等。</w:t>
      </w:r>
    </w:p>
    <w:p w14:paraId="109B5A71">
      <w:pPr>
        <w:pStyle w:val="165"/>
        <w:rPr>
          <w:rFonts w:hint="eastAsia"/>
        </w:rPr>
      </w:pPr>
      <w:r>
        <w:rPr>
          <w:rFonts w:hint="eastAsia"/>
        </w:rPr>
        <w:t>非金属绝缘屏蔽采用半导电涂料均匀涂覆在打磨好的接头绝缘表面，连接两端电缆的非金属绝缘屏蔽层。</w:t>
      </w:r>
    </w:p>
    <w:p w14:paraId="32E967DC">
      <w:pPr>
        <w:pStyle w:val="165"/>
        <w:rPr>
          <w:rFonts w:hint="eastAsia"/>
        </w:rPr>
      </w:pPr>
      <w:r>
        <w:rPr>
          <w:rFonts w:hint="eastAsia"/>
        </w:rPr>
        <w:t>半导电屏蔽电阻率要求：在老化前和老化后，电阻率应不超过下列数值：</w:t>
      </w:r>
    </w:p>
    <w:p w14:paraId="3F422F59">
      <w:pPr>
        <w:pStyle w:val="57"/>
        <w:ind w:firstLine="420"/>
        <w:rPr>
          <w:rFonts w:hint="eastAsia"/>
        </w:rPr>
      </w:pPr>
      <w:r>
        <w:t>a）导体屏蔽电阻率：1000Ω•m；</w:t>
      </w:r>
    </w:p>
    <w:p w14:paraId="691F4DA9">
      <w:pPr>
        <w:pStyle w:val="57"/>
        <w:ind w:firstLine="420"/>
      </w:pPr>
      <w:r>
        <w:t>b）绝缘屏蔽电阻率：500Ω•m。</w:t>
      </w:r>
    </w:p>
    <w:p w14:paraId="70F32E8C">
      <w:pPr>
        <w:pStyle w:val="57"/>
        <w:ind w:firstLine="420"/>
      </w:pPr>
      <w:r>
        <w:t>试验方法按GB/T 12706.2</w:t>
      </w:r>
      <w:r>
        <w:rPr>
          <w:rFonts w:hint="eastAsia"/>
        </w:rPr>
        <w:t>《</w:t>
      </w:r>
      <w:r>
        <w:t>额定电压1kV（</w:t>
      </w:r>
      <w:r>
        <w:rPr>
          <w:i/>
        </w:rPr>
        <w:t>U</w:t>
      </w:r>
      <w:r>
        <w:rPr>
          <w:vertAlign w:val="subscript"/>
        </w:rPr>
        <w:t>m</w:t>
      </w:r>
      <w:r>
        <w:t>=1.2kV）到35kV（</w:t>
      </w:r>
      <w:r>
        <w:rPr>
          <w:i/>
        </w:rPr>
        <w:t>U</w:t>
      </w:r>
      <w:r>
        <w:rPr>
          <w:vertAlign w:val="subscript"/>
        </w:rPr>
        <w:t>m</w:t>
      </w:r>
      <w:r>
        <w:t>=40.5kV）挤包绝缘电力电缆及附件</w:t>
      </w:r>
      <w:r>
        <w:rPr>
          <w:rFonts w:hint="eastAsia"/>
        </w:rPr>
        <w:t xml:space="preserve"> </w:t>
      </w:r>
      <w:r>
        <w:t>第2部分：额定电压6kV（</w:t>
      </w:r>
      <w:r>
        <w:rPr>
          <w:i/>
        </w:rPr>
        <w:t>U</w:t>
      </w:r>
      <w:r>
        <w:rPr>
          <w:vertAlign w:val="subscript"/>
        </w:rPr>
        <w:t>m</w:t>
      </w:r>
      <w:r>
        <w:t>=7.2kV）至30kV（</w:t>
      </w:r>
      <w:r>
        <w:rPr>
          <w:i/>
        </w:rPr>
        <w:t>U</w:t>
      </w:r>
      <w:r>
        <w:rPr>
          <w:vertAlign w:val="subscript"/>
        </w:rPr>
        <w:t>m</w:t>
      </w:r>
      <w:r>
        <w:t>=36kV）</w:t>
      </w:r>
      <w:r>
        <w:rPr>
          <w:rFonts w:hint="eastAsia"/>
        </w:rPr>
        <w:t>》</w:t>
      </w:r>
      <w:r>
        <w:t>的</w:t>
      </w:r>
      <w:r>
        <w:rPr>
          <w:rFonts w:hint="eastAsia"/>
        </w:rPr>
        <w:t>“</w:t>
      </w:r>
      <w:r>
        <w:t>附录D</w:t>
      </w:r>
      <w:r>
        <w:rPr>
          <w:rFonts w:hint="eastAsia"/>
        </w:rPr>
        <w:t xml:space="preserve"> </w:t>
      </w:r>
      <w:r>
        <w:t>半导电屏蔽电阻率的测量方法</w:t>
      </w:r>
      <w:r>
        <w:rPr>
          <w:rFonts w:hint="eastAsia"/>
        </w:rPr>
        <w:t>”</w:t>
      </w:r>
      <w:r>
        <w:t>。</w:t>
      </w:r>
    </w:p>
    <w:p w14:paraId="3C4DAF1D">
      <w:pPr>
        <w:pStyle w:val="105"/>
        <w:spacing w:before="120" w:after="120"/>
      </w:pPr>
      <w:bookmarkStart w:id="76" w:name="_Toc181625043"/>
      <w:bookmarkStart w:id="77" w:name="_Toc181625015"/>
      <w:r>
        <w:rPr>
          <w:rFonts w:hint="eastAsia"/>
        </w:rPr>
        <w:t>绝缘层要求</w:t>
      </w:r>
      <w:bookmarkEnd w:id="76"/>
      <w:bookmarkEnd w:id="77"/>
    </w:p>
    <w:p w14:paraId="35B0C44A">
      <w:pPr>
        <w:pStyle w:val="165"/>
        <w:rPr>
          <w:rFonts w:hint="eastAsia"/>
        </w:rPr>
      </w:pPr>
      <w:r>
        <w:rPr>
          <w:rFonts w:hint="eastAsia"/>
        </w:rPr>
        <w:t>熔接头绝缘层应采用与电缆绝缘层相融的绝缘料恢复制作，其性能应满足“表1熔接头绝缘层制作的绝缘料性能”的要求。</w:t>
      </w:r>
    </w:p>
    <w:p w14:paraId="2A169C1E">
      <w:pPr>
        <w:pStyle w:val="57"/>
        <w:ind w:firstLine="420"/>
      </w:pPr>
    </w:p>
    <w:p w14:paraId="3663C56C">
      <w:pPr>
        <w:pStyle w:val="57"/>
        <w:ind w:firstLine="420"/>
      </w:pPr>
    </w:p>
    <w:p w14:paraId="10AF3F44">
      <w:pPr>
        <w:pStyle w:val="57"/>
        <w:ind w:firstLine="420"/>
        <w:rPr>
          <w:rFonts w:hint="eastAsia"/>
        </w:rPr>
      </w:pPr>
    </w:p>
    <w:p w14:paraId="42598126">
      <w:pPr>
        <w:pStyle w:val="112"/>
        <w:spacing w:before="120" w:after="120"/>
        <w:rPr>
          <w:rFonts w:hint="eastAsia"/>
        </w:rPr>
      </w:pPr>
      <w:r>
        <w:rPr>
          <w:rFonts w:hint="eastAsia"/>
        </w:rPr>
        <w:t>熔接头绝缘层制作的绝缘料性能</w:t>
      </w:r>
    </w:p>
    <w:tbl>
      <w:tblPr>
        <w:tblStyle w:val="26"/>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65"/>
        <w:gridCol w:w="2735"/>
        <w:gridCol w:w="2735"/>
        <w:gridCol w:w="2735"/>
      </w:tblGrid>
      <w:tr w14:paraId="15FDA7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365" w:type="dxa"/>
            <w:tcBorders>
              <w:top w:val="single" w:color="auto" w:sz="8" w:space="0"/>
              <w:left w:val="single" w:color="auto" w:sz="8" w:space="0"/>
              <w:bottom w:val="single" w:color="auto" w:sz="8" w:space="0"/>
              <w:right w:val="single" w:color="auto" w:sz="4" w:space="0"/>
            </w:tcBorders>
          </w:tcPr>
          <w:p w14:paraId="7EBC7587">
            <w:pPr>
              <w:pStyle w:val="57"/>
              <w:ind w:firstLine="420"/>
              <w:rPr>
                <w:rFonts w:hint="eastAsia"/>
              </w:rPr>
            </w:pPr>
            <w:r>
              <w:rPr>
                <w:rFonts w:hint="eastAsia"/>
              </w:rPr>
              <w:t>序号</w:t>
            </w:r>
          </w:p>
        </w:tc>
        <w:tc>
          <w:tcPr>
            <w:tcW w:w="2735" w:type="dxa"/>
            <w:tcBorders>
              <w:top w:val="single" w:color="auto" w:sz="8" w:space="0"/>
              <w:left w:val="single" w:color="auto" w:sz="4" w:space="0"/>
              <w:bottom w:val="single" w:color="auto" w:sz="8" w:space="0"/>
              <w:right w:val="single" w:color="auto" w:sz="4" w:space="0"/>
            </w:tcBorders>
          </w:tcPr>
          <w:p w14:paraId="1EF5BD5F">
            <w:pPr>
              <w:pStyle w:val="57"/>
              <w:ind w:firstLine="420"/>
              <w:rPr>
                <w:rFonts w:hint="eastAsia"/>
              </w:rPr>
            </w:pPr>
            <w:r>
              <w:rPr>
                <w:rFonts w:hint="eastAsia"/>
              </w:rPr>
              <w:t>项目</w:t>
            </w:r>
          </w:p>
        </w:tc>
        <w:tc>
          <w:tcPr>
            <w:tcW w:w="2735" w:type="dxa"/>
            <w:tcBorders>
              <w:top w:val="single" w:color="auto" w:sz="8" w:space="0"/>
              <w:left w:val="single" w:color="auto" w:sz="4" w:space="0"/>
              <w:bottom w:val="single" w:color="auto" w:sz="8" w:space="0"/>
              <w:right w:val="single" w:color="auto" w:sz="4" w:space="0"/>
            </w:tcBorders>
          </w:tcPr>
          <w:p w14:paraId="546EACC5">
            <w:pPr>
              <w:pStyle w:val="57"/>
              <w:ind w:firstLine="420"/>
              <w:rPr>
                <w:rFonts w:hint="eastAsia"/>
              </w:rPr>
            </w:pPr>
            <w:r>
              <w:rPr>
                <w:rFonts w:hint="eastAsia"/>
              </w:rPr>
              <w:t>单位</w:t>
            </w:r>
          </w:p>
        </w:tc>
        <w:tc>
          <w:tcPr>
            <w:tcW w:w="2735" w:type="dxa"/>
            <w:tcBorders>
              <w:top w:val="single" w:color="auto" w:sz="8" w:space="0"/>
              <w:left w:val="single" w:color="auto" w:sz="4" w:space="0"/>
              <w:bottom w:val="single" w:color="auto" w:sz="8" w:space="0"/>
              <w:right w:val="single" w:color="auto" w:sz="8" w:space="0"/>
            </w:tcBorders>
          </w:tcPr>
          <w:p w14:paraId="34E6D171">
            <w:pPr>
              <w:pStyle w:val="57"/>
              <w:ind w:firstLine="420"/>
              <w:rPr>
                <w:rFonts w:hint="eastAsia"/>
              </w:rPr>
            </w:pPr>
            <w:r>
              <w:rPr>
                <w:rFonts w:hint="eastAsia"/>
              </w:rPr>
              <w:t>质量标准</w:t>
            </w:r>
          </w:p>
        </w:tc>
      </w:tr>
      <w:tr w14:paraId="53E320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365" w:type="dxa"/>
            <w:tcBorders>
              <w:top w:val="single" w:color="auto" w:sz="8" w:space="0"/>
              <w:left w:val="single" w:color="auto" w:sz="8" w:space="0"/>
              <w:bottom w:val="single" w:color="auto" w:sz="4" w:space="0"/>
              <w:right w:val="single" w:color="auto" w:sz="4" w:space="0"/>
            </w:tcBorders>
          </w:tcPr>
          <w:p w14:paraId="3F159612">
            <w:pPr>
              <w:pStyle w:val="57"/>
              <w:ind w:firstLine="420"/>
              <w:rPr>
                <w:rFonts w:hint="eastAsia"/>
              </w:rPr>
            </w:pPr>
            <w:r>
              <w:rPr>
                <w:rFonts w:hint="eastAsia"/>
              </w:rPr>
              <w:t>1</w:t>
            </w:r>
          </w:p>
        </w:tc>
        <w:tc>
          <w:tcPr>
            <w:tcW w:w="2735" w:type="dxa"/>
            <w:tcBorders>
              <w:top w:val="single" w:color="auto" w:sz="8" w:space="0"/>
              <w:left w:val="single" w:color="auto" w:sz="4" w:space="0"/>
              <w:bottom w:val="single" w:color="auto" w:sz="4" w:space="0"/>
              <w:right w:val="single" w:color="auto" w:sz="4" w:space="0"/>
            </w:tcBorders>
          </w:tcPr>
          <w:p w14:paraId="3A2B19AA">
            <w:pPr>
              <w:pStyle w:val="57"/>
              <w:ind w:firstLine="420"/>
              <w:rPr>
                <w:rFonts w:hint="eastAsia"/>
              </w:rPr>
            </w:pPr>
            <w:r>
              <w:rPr>
                <w:rFonts w:hint="eastAsia"/>
              </w:rPr>
              <w:t>拉伸强度</w:t>
            </w:r>
          </w:p>
        </w:tc>
        <w:tc>
          <w:tcPr>
            <w:tcW w:w="2735" w:type="dxa"/>
            <w:tcBorders>
              <w:top w:val="single" w:color="auto" w:sz="8" w:space="0"/>
              <w:left w:val="single" w:color="auto" w:sz="4" w:space="0"/>
              <w:bottom w:val="single" w:color="auto" w:sz="4" w:space="0"/>
              <w:right w:val="single" w:color="auto" w:sz="4" w:space="0"/>
            </w:tcBorders>
          </w:tcPr>
          <w:p w14:paraId="22846288">
            <w:pPr>
              <w:pStyle w:val="57"/>
              <w:ind w:firstLine="420"/>
              <w:rPr>
                <w:rFonts w:hint="eastAsia"/>
              </w:rPr>
            </w:pPr>
            <w:r>
              <w:rPr>
                <w:rFonts w:hint="eastAsia"/>
              </w:rPr>
              <w:t>MPa</w:t>
            </w:r>
          </w:p>
        </w:tc>
        <w:tc>
          <w:tcPr>
            <w:tcW w:w="2735" w:type="dxa"/>
            <w:tcBorders>
              <w:top w:val="single" w:color="auto" w:sz="8" w:space="0"/>
              <w:left w:val="single" w:color="auto" w:sz="4" w:space="0"/>
              <w:bottom w:val="single" w:color="auto" w:sz="4" w:space="0"/>
              <w:right w:val="single" w:color="auto" w:sz="8" w:space="0"/>
            </w:tcBorders>
          </w:tcPr>
          <w:p w14:paraId="4BC4B1BB">
            <w:pPr>
              <w:pStyle w:val="57"/>
              <w:ind w:firstLine="420"/>
              <w:rPr>
                <w:rFonts w:hint="eastAsia"/>
              </w:rPr>
            </w:pPr>
            <w:r>
              <w:rPr>
                <w:rFonts w:hint="eastAsia"/>
              </w:rPr>
              <w:t>≥10</w:t>
            </w:r>
          </w:p>
        </w:tc>
      </w:tr>
      <w:tr w14:paraId="189E42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365" w:type="dxa"/>
            <w:tcBorders>
              <w:top w:val="single" w:color="auto" w:sz="4" w:space="0"/>
              <w:left w:val="single" w:color="auto" w:sz="8" w:space="0"/>
              <w:bottom w:val="single" w:color="auto" w:sz="4" w:space="0"/>
              <w:right w:val="single" w:color="auto" w:sz="4" w:space="0"/>
            </w:tcBorders>
          </w:tcPr>
          <w:p w14:paraId="4B706E2A">
            <w:pPr>
              <w:pStyle w:val="57"/>
              <w:ind w:firstLine="420"/>
              <w:rPr>
                <w:rFonts w:hint="eastAsia"/>
              </w:rPr>
            </w:pPr>
            <w:r>
              <w:rPr>
                <w:rFonts w:hint="eastAsia"/>
              </w:rPr>
              <w:t>2</w:t>
            </w:r>
          </w:p>
        </w:tc>
        <w:tc>
          <w:tcPr>
            <w:tcW w:w="2735" w:type="dxa"/>
            <w:tcBorders>
              <w:top w:val="single" w:color="auto" w:sz="4" w:space="0"/>
              <w:left w:val="single" w:color="auto" w:sz="4" w:space="0"/>
              <w:bottom w:val="single" w:color="auto" w:sz="4" w:space="0"/>
              <w:right w:val="single" w:color="auto" w:sz="4" w:space="0"/>
            </w:tcBorders>
          </w:tcPr>
          <w:p w14:paraId="333F1DB8">
            <w:pPr>
              <w:pStyle w:val="57"/>
              <w:ind w:firstLine="420"/>
              <w:rPr>
                <w:rFonts w:hint="eastAsia"/>
              </w:rPr>
            </w:pPr>
            <w:r>
              <w:rPr>
                <w:rFonts w:hint="eastAsia"/>
              </w:rPr>
              <w:t>断裂伸长率</w:t>
            </w:r>
          </w:p>
        </w:tc>
        <w:tc>
          <w:tcPr>
            <w:tcW w:w="2735" w:type="dxa"/>
            <w:tcBorders>
              <w:top w:val="single" w:color="auto" w:sz="4" w:space="0"/>
              <w:left w:val="single" w:color="auto" w:sz="4" w:space="0"/>
              <w:bottom w:val="single" w:color="auto" w:sz="4" w:space="0"/>
              <w:right w:val="single" w:color="auto" w:sz="4" w:space="0"/>
            </w:tcBorders>
          </w:tcPr>
          <w:p w14:paraId="1763FB3B">
            <w:pPr>
              <w:pStyle w:val="57"/>
              <w:ind w:firstLine="420"/>
              <w:rPr>
                <w:rFonts w:hint="eastAsia"/>
              </w:rPr>
            </w:pPr>
            <w:r>
              <w:rPr>
                <w:rFonts w:hint="eastAsia"/>
              </w:rPr>
              <w:t>%</w:t>
            </w:r>
          </w:p>
        </w:tc>
        <w:tc>
          <w:tcPr>
            <w:tcW w:w="2735" w:type="dxa"/>
            <w:tcBorders>
              <w:top w:val="single" w:color="auto" w:sz="4" w:space="0"/>
              <w:left w:val="single" w:color="auto" w:sz="4" w:space="0"/>
              <w:bottom w:val="single" w:color="auto" w:sz="4" w:space="0"/>
              <w:right w:val="single" w:color="auto" w:sz="8" w:space="0"/>
            </w:tcBorders>
          </w:tcPr>
          <w:p w14:paraId="71A9C2AC">
            <w:pPr>
              <w:pStyle w:val="57"/>
              <w:ind w:firstLine="420"/>
              <w:rPr>
                <w:rFonts w:hint="eastAsia"/>
              </w:rPr>
            </w:pPr>
            <w:r>
              <w:rPr>
                <w:rFonts w:hint="eastAsia"/>
              </w:rPr>
              <w:t>≥500</w:t>
            </w:r>
          </w:p>
        </w:tc>
      </w:tr>
      <w:tr w14:paraId="694B9F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365" w:type="dxa"/>
            <w:tcBorders>
              <w:top w:val="single" w:color="auto" w:sz="4" w:space="0"/>
              <w:left w:val="single" w:color="auto" w:sz="8" w:space="0"/>
              <w:bottom w:val="single" w:color="auto" w:sz="4" w:space="0"/>
              <w:right w:val="single" w:color="auto" w:sz="4" w:space="0"/>
            </w:tcBorders>
            <w:vAlign w:val="center"/>
          </w:tcPr>
          <w:p w14:paraId="0A5DEF1A">
            <w:pPr>
              <w:pStyle w:val="57"/>
              <w:ind w:firstLine="420"/>
              <w:rPr>
                <w:rFonts w:hint="eastAsia"/>
              </w:rPr>
            </w:pPr>
            <w:r>
              <w:rPr>
                <w:rFonts w:hint="eastAsia"/>
              </w:rPr>
              <w:t>3</w:t>
            </w:r>
          </w:p>
        </w:tc>
        <w:tc>
          <w:tcPr>
            <w:tcW w:w="2735" w:type="dxa"/>
            <w:tcBorders>
              <w:top w:val="single" w:color="auto" w:sz="4" w:space="0"/>
              <w:left w:val="single" w:color="auto" w:sz="4" w:space="0"/>
              <w:bottom w:val="single" w:color="auto" w:sz="4" w:space="0"/>
              <w:right w:val="single" w:color="auto" w:sz="4" w:space="0"/>
            </w:tcBorders>
            <w:vAlign w:val="center"/>
          </w:tcPr>
          <w:p w14:paraId="50AA6CBF">
            <w:pPr>
              <w:pStyle w:val="57"/>
              <w:ind w:firstLine="420"/>
              <w:rPr>
                <w:rFonts w:hint="eastAsia"/>
              </w:rPr>
            </w:pPr>
            <w:r>
              <w:rPr>
                <w:rFonts w:hint="eastAsia"/>
              </w:rPr>
              <w:t>撕裂强度</w:t>
            </w:r>
          </w:p>
          <w:p w14:paraId="351AACFC">
            <w:pPr>
              <w:pStyle w:val="57"/>
              <w:ind w:firstLine="420"/>
              <w:rPr>
                <w:rFonts w:hint="eastAsia"/>
              </w:rPr>
            </w:pPr>
            <w:r>
              <w:rPr>
                <w:rFonts w:hint="eastAsia"/>
              </w:rPr>
              <w:t>厚度0.13mm，直角形试样</w:t>
            </w:r>
          </w:p>
        </w:tc>
        <w:tc>
          <w:tcPr>
            <w:tcW w:w="2735" w:type="dxa"/>
            <w:tcBorders>
              <w:top w:val="single" w:color="auto" w:sz="4" w:space="0"/>
              <w:left w:val="single" w:color="auto" w:sz="4" w:space="0"/>
              <w:bottom w:val="single" w:color="auto" w:sz="4" w:space="0"/>
              <w:right w:val="single" w:color="auto" w:sz="4" w:space="0"/>
            </w:tcBorders>
            <w:vAlign w:val="center"/>
          </w:tcPr>
          <w:p w14:paraId="5B6B11F7">
            <w:pPr>
              <w:pStyle w:val="57"/>
              <w:ind w:firstLine="420"/>
              <w:rPr>
                <w:rFonts w:hint="eastAsia"/>
              </w:rPr>
            </w:pPr>
            <w:r>
              <w:rPr>
                <w:rFonts w:hint="eastAsia"/>
              </w:rPr>
              <w:t>kN/m</w:t>
            </w:r>
          </w:p>
        </w:tc>
        <w:tc>
          <w:tcPr>
            <w:tcW w:w="2735" w:type="dxa"/>
            <w:tcBorders>
              <w:top w:val="single" w:color="auto" w:sz="4" w:space="0"/>
              <w:left w:val="single" w:color="auto" w:sz="4" w:space="0"/>
              <w:bottom w:val="single" w:color="auto" w:sz="4" w:space="0"/>
              <w:right w:val="single" w:color="auto" w:sz="8" w:space="0"/>
            </w:tcBorders>
            <w:vAlign w:val="center"/>
          </w:tcPr>
          <w:p w14:paraId="359D2971">
            <w:pPr>
              <w:pStyle w:val="57"/>
              <w:ind w:firstLine="420"/>
              <w:rPr>
                <w:rFonts w:hint="eastAsia"/>
              </w:rPr>
            </w:pPr>
            <w:r>
              <w:rPr>
                <w:rFonts w:hint="eastAsia"/>
              </w:rPr>
              <w:t>≥130</w:t>
            </w:r>
          </w:p>
        </w:tc>
      </w:tr>
      <w:tr w14:paraId="6C01D0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365" w:type="dxa"/>
            <w:tcBorders>
              <w:top w:val="single" w:color="auto" w:sz="4" w:space="0"/>
              <w:left w:val="single" w:color="auto" w:sz="8" w:space="0"/>
              <w:bottom w:val="single" w:color="auto" w:sz="4" w:space="0"/>
              <w:right w:val="single" w:color="auto" w:sz="4" w:space="0"/>
            </w:tcBorders>
          </w:tcPr>
          <w:p w14:paraId="15300E76">
            <w:pPr>
              <w:pStyle w:val="57"/>
              <w:ind w:firstLine="420"/>
              <w:rPr>
                <w:rFonts w:hint="eastAsia"/>
              </w:rPr>
            </w:pPr>
            <w:r>
              <w:rPr>
                <w:rFonts w:hint="eastAsia"/>
              </w:rPr>
              <w:t>4</w:t>
            </w:r>
          </w:p>
        </w:tc>
        <w:tc>
          <w:tcPr>
            <w:tcW w:w="2735" w:type="dxa"/>
            <w:tcBorders>
              <w:top w:val="single" w:color="auto" w:sz="4" w:space="0"/>
              <w:left w:val="single" w:color="auto" w:sz="4" w:space="0"/>
              <w:bottom w:val="single" w:color="auto" w:sz="4" w:space="0"/>
              <w:right w:val="single" w:color="auto" w:sz="4" w:space="0"/>
            </w:tcBorders>
          </w:tcPr>
          <w:p w14:paraId="6FA793FD">
            <w:pPr>
              <w:pStyle w:val="57"/>
              <w:ind w:firstLine="420"/>
              <w:rPr>
                <w:rFonts w:hint="eastAsia"/>
              </w:rPr>
            </w:pPr>
            <w:r>
              <w:rPr>
                <w:rFonts w:hint="eastAsia"/>
              </w:rPr>
              <w:t>体积电阻率</w:t>
            </w:r>
          </w:p>
        </w:tc>
        <w:tc>
          <w:tcPr>
            <w:tcW w:w="2735" w:type="dxa"/>
            <w:tcBorders>
              <w:top w:val="single" w:color="auto" w:sz="4" w:space="0"/>
              <w:left w:val="single" w:color="auto" w:sz="4" w:space="0"/>
              <w:bottom w:val="single" w:color="auto" w:sz="4" w:space="0"/>
              <w:right w:val="single" w:color="auto" w:sz="4" w:space="0"/>
            </w:tcBorders>
          </w:tcPr>
          <w:p w14:paraId="0AE549EC">
            <w:pPr>
              <w:pStyle w:val="57"/>
              <w:ind w:firstLine="420"/>
              <w:rPr>
                <w:rFonts w:hint="eastAsia"/>
              </w:rPr>
            </w:pPr>
            <w:r>
              <w:rPr>
                <w:rFonts w:hint="eastAsia"/>
              </w:rPr>
              <w:t>Ω•cm</w:t>
            </w:r>
          </w:p>
        </w:tc>
        <w:tc>
          <w:tcPr>
            <w:tcW w:w="2735" w:type="dxa"/>
            <w:tcBorders>
              <w:top w:val="single" w:color="auto" w:sz="4" w:space="0"/>
              <w:left w:val="single" w:color="auto" w:sz="4" w:space="0"/>
              <w:bottom w:val="single" w:color="auto" w:sz="4" w:space="0"/>
              <w:right w:val="single" w:color="auto" w:sz="8" w:space="0"/>
            </w:tcBorders>
          </w:tcPr>
          <w:p w14:paraId="1951A3B3">
            <w:pPr>
              <w:pStyle w:val="57"/>
              <w:ind w:firstLine="420"/>
              <w:rPr>
                <w:rFonts w:hint="eastAsia"/>
              </w:rPr>
            </w:pPr>
            <w:r>
              <w:rPr>
                <w:rFonts w:hint="eastAsia"/>
              </w:rPr>
              <w:t>≥10</w:t>
            </w:r>
            <w:r>
              <w:rPr>
                <w:rFonts w:hint="eastAsia"/>
                <w:vertAlign w:val="superscript"/>
              </w:rPr>
              <w:t>12</w:t>
            </w:r>
          </w:p>
        </w:tc>
      </w:tr>
      <w:tr w14:paraId="0EC7FF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365" w:type="dxa"/>
            <w:tcBorders>
              <w:top w:val="single" w:color="auto" w:sz="4" w:space="0"/>
              <w:left w:val="single" w:color="auto" w:sz="8" w:space="0"/>
              <w:bottom w:val="single" w:color="auto" w:sz="4" w:space="0"/>
              <w:right w:val="single" w:color="auto" w:sz="4" w:space="0"/>
            </w:tcBorders>
          </w:tcPr>
          <w:p w14:paraId="1C95CF98">
            <w:pPr>
              <w:pStyle w:val="57"/>
              <w:ind w:firstLine="420"/>
              <w:rPr>
                <w:rFonts w:hint="eastAsia"/>
              </w:rPr>
            </w:pPr>
            <w:r>
              <w:rPr>
                <w:rFonts w:hint="eastAsia"/>
              </w:rPr>
              <w:t>5</w:t>
            </w:r>
          </w:p>
        </w:tc>
        <w:tc>
          <w:tcPr>
            <w:tcW w:w="2735" w:type="dxa"/>
            <w:tcBorders>
              <w:top w:val="single" w:color="auto" w:sz="4" w:space="0"/>
              <w:left w:val="single" w:color="auto" w:sz="4" w:space="0"/>
              <w:bottom w:val="single" w:color="auto" w:sz="4" w:space="0"/>
              <w:right w:val="single" w:color="auto" w:sz="4" w:space="0"/>
            </w:tcBorders>
          </w:tcPr>
          <w:p w14:paraId="3A49BF3A">
            <w:pPr>
              <w:pStyle w:val="57"/>
              <w:ind w:firstLine="420"/>
              <w:rPr>
                <w:rFonts w:hint="eastAsia"/>
              </w:rPr>
            </w:pPr>
            <w:r>
              <w:rPr>
                <w:rFonts w:hint="eastAsia"/>
              </w:rPr>
              <w:t>介电常数</w:t>
            </w:r>
          </w:p>
        </w:tc>
        <w:tc>
          <w:tcPr>
            <w:tcW w:w="2735" w:type="dxa"/>
            <w:tcBorders>
              <w:top w:val="single" w:color="auto" w:sz="4" w:space="0"/>
              <w:left w:val="single" w:color="auto" w:sz="4" w:space="0"/>
              <w:bottom w:val="single" w:color="auto" w:sz="4" w:space="0"/>
              <w:right w:val="single" w:color="auto" w:sz="4" w:space="0"/>
            </w:tcBorders>
          </w:tcPr>
          <w:p w14:paraId="3A39F913">
            <w:pPr>
              <w:pStyle w:val="57"/>
              <w:ind w:firstLine="420"/>
              <w:rPr>
                <w:rFonts w:hint="eastAsia"/>
              </w:rPr>
            </w:pPr>
          </w:p>
        </w:tc>
        <w:tc>
          <w:tcPr>
            <w:tcW w:w="2735" w:type="dxa"/>
            <w:tcBorders>
              <w:top w:val="single" w:color="auto" w:sz="4" w:space="0"/>
              <w:left w:val="single" w:color="auto" w:sz="4" w:space="0"/>
              <w:bottom w:val="single" w:color="auto" w:sz="4" w:space="0"/>
              <w:right w:val="single" w:color="auto" w:sz="8" w:space="0"/>
            </w:tcBorders>
          </w:tcPr>
          <w:p w14:paraId="5D15220C">
            <w:pPr>
              <w:pStyle w:val="57"/>
              <w:ind w:firstLine="420"/>
              <w:rPr>
                <w:rFonts w:hint="eastAsia"/>
              </w:rPr>
            </w:pPr>
            <w:r>
              <w:rPr>
                <w:rFonts w:hint="eastAsia"/>
              </w:rPr>
              <w:t>2-4</w:t>
            </w:r>
          </w:p>
        </w:tc>
      </w:tr>
      <w:tr w14:paraId="76BB3E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365" w:type="dxa"/>
            <w:tcBorders>
              <w:top w:val="single" w:color="auto" w:sz="4" w:space="0"/>
              <w:left w:val="single" w:color="auto" w:sz="8" w:space="0"/>
              <w:bottom w:val="single" w:color="auto" w:sz="4" w:space="0"/>
              <w:right w:val="single" w:color="auto" w:sz="4" w:space="0"/>
            </w:tcBorders>
          </w:tcPr>
          <w:p w14:paraId="29A2975D">
            <w:pPr>
              <w:pStyle w:val="57"/>
              <w:ind w:firstLine="420"/>
              <w:rPr>
                <w:rFonts w:hint="eastAsia"/>
              </w:rPr>
            </w:pPr>
            <w:r>
              <w:rPr>
                <w:rFonts w:hint="eastAsia"/>
              </w:rPr>
              <w:t>6</w:t>
            </w:r>
          </w:p>
        </w:tc>
        <w:tc>
          <w:tcPr>
            <w:tcW w:w="2735" w:type="dxa"/>
            <w:tcBorders>
              <w:top w:val="single" w:color="auto" w:sz="4" w:space="0"/>
              <w:left w:val="single" w:color="auto" w:sz="4" w:space="0"/>
              <w:bottom w:val="single" w:color="auto" w:sz="4" w:space="0"/>
              <w:right w:val="single" w:color="auto" w:sz="4" w:space="0"/>
            </w:tcBorders>
          </w:tcPr>
          <w:p w14:paraId="5D95A2E6">
            <w:pPr>
              <w:pStyle w:val="57"/>
              <w:ind w:firstLine="420"/>
              <w:rPr>
                <w:rFonts w:hint="eastAsia"/>
              </w:rPr>
            </w:pPr>
            <w:r>
              <w:rPr>
                <w:rFonts w:hint="eastAsia"/>
              </w:rPr>
              <w:t>介质损耗因数</w:t>
            </w:r>
          </w:p>
        </w:tc>
        <w:tc>
          <w:tcPr>
            <w:tcW w:w="2735" w:type="dxa"/>
            <w:tcBorders>
              <w:top w:val="single" w:color="auto" w:sz="4" w:space="0"/>
              <w:left w:val="single" w:color="auto" w:sz="4" w:space="0"/>
              <w:bottom w:val="single" w:color="auto" w:sz="4" w:space="0"/>
              <w:right w:val="single" w:color="auto" w:sz="4" w:space="0"/>
            </w:tcBorders>
          </w:tcPr>
          <w:p w14:paraId="509742C5">
            <w:pPr>
              <w:pStyle w:val="57"/>
              <w:ind w:firstLine="420"/>
              <w:rPr>
                <w:rFonts w:hint="eastAsia"/>
              </w:rPr>
            </w:pPr>
          </w:p>
        </w:tc>
        <w:tc>
          <w:tcPr>
            <w:tcW w:w="2735" w:type="dxa"/>
            <w:tcBorders>
              <w:top w:val="single" w:color="auto" w:sz="4" w:space="0"/>
              <w:left w:val="single" w:color="auto" w:sz="4" w:space="0"/>
              <w:bottom w:val="single" w:color="auto" w:sz="4" w:space="0"/>
              <w:right w:val="single" w:color="auto" w:sz="8" w:space="0"/>
            </w:tcBorders>
          </w:tcPr>
          <w:p w14:paraId="55E96B03">
            <w:pPr>
              <w:pStyle w:val="57"/>
              <w:ind w:firstLine="420"/>
              <w:rPr>
                <w:rFonts w:hint="eastAsia"/>
              </w:rPr>
            </w:pPr>
            <w:r>
              <w:rPr>
                <w:rFonts w:hint="eastAsia"/>
              </w:rPr>
              <w:t>≤5×10</w:t>
            </w:r>
            <w:r>
              <w:rPr>
                <w:rFonts w:hint="eastAsia"/>
                <w:vertAlign w:val="superscript"/>
              </w:rPr>
              <w:t>-4</w:t>
            </w:r>
          </w:p>
        </w:tc>
      </w:tr>
      <w:tr w14:paraId="7755A7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365" w:type="dxa"/>
            <w:tcBorders>
              <w:top w:val="single" w:color="auto" w:sz="4" w:space="0"/>
              <w:left w:val="single" w:color="auto" w:sz="8" w:space="0"/>
              <w:bottom w:val="single" w:color="auto" w:sz="8" w:space="0"/>
              <w:right w:val="single" w:color="auto" w:sz="4" w:space="0"/>
            </w:tcBorders>
          </w:tcPr>
          <w:p w14:paraId="0848BBD7">
            <w:pPr>
              <w:pStyle w:val="57"/>
              <w:ind w:firstLine="420"/>
              <w:rPr>
                <w:rFonts w:hint="eastAsia"/>
              </w:rPr>
            </w:pPr>
            <w:r>
              <w:rPr>
                <w:rFonts w:hint="eastAsia"/>
              </w:rPr>
              <w:t>7</w:t>
            </w:r>
          </w:p>
        </w:tc>
        <w:tc>
          <w:tcPr>
            <w:tcW w:w="2735" w:type="dxa"/>
            <w:tcBorders>
              <w:top w:val="single" w:color="auto" w:sz="4" w:space="0"/>
              <w:left w:val="single" w:color="auto" w:sz="4" w:space="0"/>
              <w:bottom w:val="single" w:color="auto" w:sz="8" w:space="0"/>
              <w:right w:val="single" w:color="auto" w:sz="4" w:space="0"/>
            </w:tcBorders>
          </w:tcPr>
          <w:p w14:paraId="695ADA48">
            <w:pPr>
              <w:pStyle w:val="57"/>
              <w:ind w:firstLine="420"/>
              <w:rPr>
                <w:rFonts w:hint="eastAsia"/>
              </w:rPr>
            </w:pPr>
            <w:r>
              <w:rPr>
                <w:rFonts w:hint="eastAsia"/>
              </w:rPr>
              <w:t>介电强度</w:t>
            </w:r>
          </w:p>
        </w:tc>
        <w:tc>
          <w:tcPr>
            <w:tcW w:w="2735" w:type="dxa"/>
            <w:tcBorders>
              <w:top w:val="single" w:color="auto" w:sz="4" w:space="0"/>
              <w:left w:val="single" w:color="auto" w:sz="4" w:space="0"/>
              <w:bottom w:val="single" w:color="auto" w:sz="8" w:space="0"/>
              <w:right w:val="single" w:color="auto" w:sz="4" w:space="0"/>
            </w:tcBorders>
          </w:tcPr>
          <w:p w14:paraId="5D74D851">
            <w:pPr>
              <w:pStyle w:val="57"/>
              <w:ind w:firstLine="420"/>
              <w:rPr>
                <w:rFonts w:hint="eastAsia"/>
              </w:rPr>
            </w:pPr>
            <w:r>
              <w:rPr>
                <w:rFonts w:hint="eastAsia"/>
              </w:rPr>
              <w:t>kV/mm</w:t>
            </w:r>
          </w:p>
        </w:tc>
        <w:tc>
          <w:tcPr>
            <w:tcW w:w="2735" w:type="dxa"/>
            <w:tcBorders>
              <w:top w:val="single" w:color="auto" w:sz="4" w:space="0"/>
              <w:left w:val="single" w:color="auto" w:sz="4" w:space="0"/>
              <w:bottom w:val="single" w:color="auto" w:sz="8" w:space="0"/>
              <w:right w:val="single" w:color="auto" w:sz="8" w:space="0"/>
            </w:tcBorders>
          </w:tcPr>
          <w:p w14:paraId="669B854C">
            <w:pPr>
              <w:pStyle w:val="57"/>
              <w:ind w:firstLine="420"/>
              <w:rPr>
                <w:rFonts w:hint="eastAsia"/>
              </w:rPr>
            </w:pPr>
            <w:r>
              <w:rPr>
                <w:rFonts w:hint="eastAsia"/>
              </w:rPr>
              <w:t>≥22</w:t>
            </w:r>
          </w:p>
        </w:tc>
      </w:tr>
    </w:tbl>
    <w:p w14:paraId="2C0F57DE">
      <w:pPr>
        <w:pStyle w:val="57"/>
        <w:ind w:firstLine="420"/>
        <w:rPr>
          <w:rFonts w:hint="eastAsia"/>
        </w:rPr>
      </w:pPr>
      <w:r>
        <w:rPr>
          <w:rFonts w:hint="eastAsia"/>
        </w:rPr>
        <w:t xml:space="preserve"> </w:t>
      </w:r>
    </w:p>
    <w:p w14:paraId="63AAB165">
      <w:pPr>
        <w:pStyle w:val="165"/>
        <w:rPr>
          <w:rFonts w:hint="eastAsia"/>
        </w:rPr>
      </w:pPr>
      <w:r>
        <w:rPr>
          <w:rFonts w:hint="eastAsia"/>
        </w:rPr>
        <w:t>接头绝缘层应与电缆绝缘层、导体屏蔽层熔融结合，内部不能存在未融合的材料分层。</w:t>
      </w:r>
    </w:p>
    <w:p w14:paraId="2664500D">
      <w:pPr>
        <w:pStyle w:val="165"/>
        <w:rPr>
          <w:rFonts w:hint="eastAsia"/>
        </w:rPr>
      </w:pPr>
      <w:r>
        <w:rPr>
          <w:rFonts w:hint="eastAsia"/>
        </w:rPr>
        <w:t>接头绝缘制作完成后，接头绝缘层表面抛光，接头绝缘层厚度不小于所连接电缆的绝缘标称厚度，应比电缆绝缘厚度大（不少于）2mm，且坡度顺滑过渡，接头绝缘层与电缆绝缘层熔融结合，接头绝缘层内部应无可分离界面，接头绝缘层应没有肉眼可见的气孔、杂质。</w:t>
      </w:r>
    </w:p>
    <w:p w14:paraId="7111398F">
      <w:pPr>
        <w:pStyle w:val="104"/>
        <w:spacing w:before="240" w:after="240"/>
      </w:pPr>
      <w:bookmarkStart w:id="78" w:name="_Toc181625044"/>
      <w:bookmarkStart w:id="79" w:name="_Toc181625016"/>
      <w:r>
        <w:rPr>
          <w:rFonts w:hint="eastAsia"/>
        </w:rPr>
        <w:t>试验</w:t>
      </w:r>
      <w:bookmarkEnd w:id="78"/>
      <w:bookmarkEnd w:id="79"/>
    </w:p>
    <w:p w14:paraId="3CDA1165">
      <w:pPr>
        <w:pStyle w:val="105"/>
        <w:spacing w:before="120" w:after="120"/>
        <w:rPr>
          <w:rFonts w:hint="eastAsia"/>
        </w:rPr>
      </w:pPr>
      <w:bookmarkStart w:id="80" w:name="_Toc181625017"/>
      <w:bookmarkStart w:id="81" w:name="_Toc181625045"/>
      <w:r>
        <w:rPr>
          <w:rFonts w:hint="eastAsia"/>
        </w:rPr>
        <w:t>试验条件</w:t>
      </w:r>
      <w:bookmarkEnd w:id="80"/>
      <w:bookmarkEnd w:id="81"/>
    </w:p>
    <w:p w14:paraId="14DA1FA5">
      <w:pPr>
        <w:pStyle w:val="57"/>
        <w:ind w:firstLine="420"/>
        <w:rPr>
          <w:rFonts w:hint="eastAsia"/>
        </w:rPr>
      </w:pPr>
      <w:r>
        <w:rPr>
          <w:rFonts w:hint="eastAsia"/>
        </w:rPr>
        <w:t>试验条件符合</w:t>
      </w:r>
      <w:r>
        <w:t>GB/T 18889</w:t>
      </w:r>
      <w:r>
        <w:rPr>
          <w:rFonts w:hint="eastAsia"/>
        </w:rPr>
        <w:t>《</w:t>
      </w:r>
      <w:r>
        <w:t>额定电压 6 kV （</w:t>
      </w:r>
      <w:r>
        <w:rPr>
          <w:i/>
        </w:rPr>
        <w:t>U</w:t>
      </w:r>
      <w:r>
        <w:rPr>
          <w:vertAlign w:val="subscript"/>
        </w:rPr>
        <w:t>m</w:t>
      </w:r>
      <w:r>
        <w:t>=7.2kV）到35 kV（</w:t>
      </w:r>
      <w:r>
        <w:rPr>
          <w:i/>
        </w:rPr>
        <w:t>U</w:t>
      </w:r>
      <w:r>
        <w:rPr>
          <w:vertAlign w:val="subscript"/>
        </w:rPr>
        <w:t>m</w:t>
      </w:r>
      <w:r>
        <w:t>=40.5kV）</w:t>
      </w:r>
      <w:r>
        <w:rPr>
          <w:rFonts w:hint="eastAsia"/>
        </w:rPr>
        <w:t>电力电缆附件试验方法》中的规定。</w:t>
      </w:r>
    </w:p>
    <w:p w14:paraId="0EFCA927">
      <w:pPr>
        <w:pStyle w:val="105"/>
        <w:spacing w:before="120" w:after="120"/>
        <w:rPr>
          <w:rFonts w:hint="eastAsia"/>
        </w:rPr>
      </w:pPr>
      <w:bookmarkStart w:id="82" w:name="_Toc181625018"/>
      <w:bookmarkStart w:id="83" w:name="_Toc181625046"/>
      <w:r>
        <w:rPr>
          <w:rFonts w:hint="eastAsia"/>
        </w:rPr>
        <w:t>试验类型</w:t>
      </w:r>
      <w:bookmarkEnd w:id="82"/>
      <w:bookmarkEnd w:id="83"/>
    </w:p>
    <w:p w14:paraId="0DF1F717">
      <w:pPr>
        <w:pStyle w:val="57"/>
        <w:ind w:firstLine="420"/>
        <w:rPr>
          <w:rFonts w:hint="eastAsia"/>
        </w:rPr>
      </w:pPr>
      <w:r>
        <w:rPr>
          <w:rFonts w:hint="eastAsia"/>
        </w:rPr>
        <w:t>电缆熔接头试验类型分为型式试验、抽样试验和竣工试验。</w:t>
      </w:r>
    </w:p>
    <w:p w14:paraId="16A0F07E">
      <w:pPr>
        <w:pStyle w:val="105"/>
        <w:spacing w:before="120" w:after="120"/>
        <w:rPr>
          <w:rFonts w:hint="eastAsia"/>
        </w:rPr>
      </w:pPr>
      <w:bookmarkStart w:id="84" w:name="_Toc181625047"/>
      <w:bookmarkStart w:id="85" w:name="_Toc181625019"/>
      <w:r>
        <w:rPr>
          <w:rFonts w:hint="eastAsia"/>
        </w:rPr>
        <w:t>试验要求</w:t>
      </w:r>
      <w:bookmarkEnd w:id="84"/>
      <w:bookmarkEnd w:id="85"/>
    </w:p>
    <w:p w14:paraId="3736E206">
      <w:pPr>
        <w:pStyle w:val="165"/>
        <w:rPr>
          <w:rFonts w:hint="eastAsia"/>
        </w:rPr>
      </w:pPr>
      <w:r>
        <w:rPr>
          <w:rFonts w:hint="eastAsia"/>
        </w:rPr>
        <w:t>除非特殊试验另有详细规定，试验应在环境温度20℃ ± 15℃下进行。</w:t>
      </w:r>
    </w:p>
    <w:p w14:paraId="4F89C843">
      <w:pPr>
        <w:pStyle w:val="165"/>
        <w:rPr>
          <w:rFonts w:hint="eastAsia"/>
        </w:rPr>
      </w:pPr>
      <w:r>
        <w:rPr>
          <w:rFonts w:hint="eastAsia"/>
        </w:rPr>
        <w:t>工频试验电压的频率应为49Hz～61Hz，波形应基本为正弦波，电压值以有效值表示。</w:t>
      </w:r>
    </w:p>
    <w:p w14:paraId="73D48223">
      <w:pPr>
        <w:pStyle w:val="165"/>
        <w:rPr>
          <w:rFonts w:hint="eastAsia"/>
        </w:rPr>
      </w:pPr>
      <w:r>
        <w:rPr>
          <w:rFonts w:hint="eastAsia"/>
        </w:rPr>
        <w:t>用于试验的电缆应满足GB/T 12706.2和GB/T 12706.3的要求，其额定电压值应与被试附件的最大适用额定电压相同。</w:t>
      </w:r>
    </w:p>
    <w:p w14:paraId="3A9163B7">
      <w:pPr>
        <w:pStyle w:val="165"/>
        <w:rPr>
          <w:rFonts w:hint="eastAsia"/>
        </w:rPr>
      </w:pPr>
      <w:r>
        <w:rPr>
          <w:rFonts w:hint="eastAsia"/>
        </w:rPr>
        <w:t>试验电缆附件中的布置和数量应满足GB/T 12706.4中图1和图2的要求。</w:t>
      </w:r>
    </w:p>
    <w:p w14:paraId="76AB25A4">
      <w:pPr>
        <w:pStyle w:val="165"/>
        <w:rPr>
          <w:rFonts w:hint="eastAsia"/>
        </w:rPr>
      </w:pPr>
      <w:r>
        <w:rPr>
          <w:rFonts w:hint="eastAsia"/>
        </w:rPr>
        <w:t>接头应采用制造厂提供的材料，由制造厂的安装作业人员进行安装。</w:t>
      </w:r>
    </w:p>
    <w:p w14:paraId="1ECFED55">
      <w:pPr>
        <w:pStyle w:val="165"/>
        <w:rPr>
          <w:rFonts w:hint="eastAsia"/>
        </w:rPr>
      </w:pPr>
      <w:r>
        <w:rPr>
          <w:rFonts w:hint="eastAsia"/>
        </w:rPr>
        <w:t>接头应干燥、清洁，电缆、终端和接头都不应经手可能改变被试组合试样的电气、机械及化学性能的任何方式处理。</w:t>
      </w:r>
    </w:p>
    <w:p w14:paraId="29D086F5">
      <w:pPr>
        <w:pStyle w:val="105"/>
        <w:spacing w:before="120" w:after="120"/>
        <w:rPr>
          <w:rFonts w:hint="eastAsia"/>
        </w:rPr>
      </w:pPr>
      <w:bookmarkStart w:id="86" w:name="_Toc181625048"/>
      <w:bookmarkStart w:id="87" w:name="_Toc181625020"/>
      <w:r>
        <w:rPr>
          <w:rFonts w:hint="eastAsia"/>
        </w:rPr>
        <w:t>型式试验</w:t>
      </w:r>
      <w:bookmarkEnd w:id="86"/>
      <w:bookmarkEnd w:id="87"/>
    </w:p>
    <w:p w14:paraId="3FD63DDF">
      <w:pPr>
        <w:pStyle w:val="57"/>
        <w:ind w:firstLine="420"/>
        <w:rPr>
          <w:rFonts w:hint="eastAsia"/>
        </w:rPr>
      </w:pPr>
      <w:r>
        <w:t>试验项目、方法和要求应符合GB/T 12706.4</w:t>
      </w:r>
      <w:r>
        <w:rPr>
          <w:rFonts w:hint="eastAsia"/>
        </w:rPr>
        <w:t>《</w:t>
      </w:r>
      <w:r>
        <w:t>额定电压1kV（</w:t>
      </w:r>
      <w:r>
        <w:rPr>
          <w:i/>
        </w:rPr>
        <w:t>U</w:t>
      </w:r>
      <w:r>
        <w:rPr>
          <w:vertAlign w:val="subscript"/>
        </w:rPr>
        <w:t>m</w:t>
      </w:r>
      <w:r>
        <w:t xml:space="preserve"> =1.2kV）到35kV（</w:t>
      </w:r>
      <w:r>
        <w:rPr>
          <w:i/>
        </w:rPr>
        <w:t>U</w:t>
      </w:r>
      <w:r>
        <w:rPr>
          <w:vertAlign w:val="subscript"/>
        </w:rPr>
        <w:t>m</w:t>
      </w:r>
      <w:r>
        <w:t xml:space="preserve"> =40.5kV）挤包绝缘电力电缆及附件  第4部分：额定电压6kV（</w:t>
      </w:r>
      <w:r>
        <w:rPr>
          <w:i/>
        </w:rPr>
        <w:t>U</w:t>
      </w:r>
      <w:r>
        <w:rPr>
          <w:vertAlign w:val="subscript"/>
        </w:rPr>
        <w:t>m</w:t>
      </w:r>
      <w:r>
        <w:t xml:space="preserve"> =7.2kV）至35kV（</w:t>
      </w:r>
      <w:r>
        <w:rPr>
          <w:i/>
        </w:rPr>
        <w:t>U</w:t>
      </w:r>
      <w:r>
        <w:rPr>
          <w:vertAlign w:val="subscript"/>
        </w:rPr>
        <w:t>m</w:t>
      </w:r>
      <w:r>
        <w:t xml:space="preserve"> =40.5kV）电力电缆附件试验要求</w:t>
      </w:r>
      <w:r>
        <w:rPr>
          <w:rFonts w:hint="eastAsia"/>
        </w:rPr>
        <w:t>》</w:t>
      </w:r>
      <w:r>
        <w:t>的规定。</w:t>
      </w:r>
    </w:p>
    <w:p w14:paraId="191057D3">
      <w:pPr>
        <w:pStyle w:val="105"/>
        <w:spacing w:before="120" w:after="120"/>
      </w:pPr>
      <w:bookmarkStart w:id="88" w:name="_Toc181625021"/>
      <w:bookmarkStart w:id="89" w:name="_Toc181625049"/>
      <w:r>
        <w:rPr>
          <w:rFonts w:hint="eastAsia"/>
        </w:rPr>
        <w:t>抽样试验</w:t>
      </w:r>
      <w:bookmarkEnd w:id="88"/>
      <w:bookmarkEnd w:id="89"/>
    </w:p>
    <w:p w14:paraId="2305FBE4">
      <w:pPr>
        <w:pStyle w:val="165"/>
      </w:pPr>
      <w:r>
        <w:rPr>
          <w:rFonts w:hint="eastAsia"/>
        </w:rPr>
        <w:t>电缆熔接头应按表3所列项目按程序进行抽样试验。</w:t>
      </w:r>
    </w:p>
    <w:p w14:paraId="7574DD51">
      <w:pPr>
        <w:pStyle w:val="165"/>
        <w:numPr>
          <w:ilvl w:val="0"/>
          <w:numId w:val="0"/>
        </w:numPr>
      </w:pPr>
    </w:p>
    <w:p w14:paraId="24A3D1C2">
      <w:pPr>
        <w:pStyle w:val="165"/>
        <w:numPr>
          <w:ilvl w:val="0"/>
          <w:numId w:val="0"/>
        </w:numPr>
      </w:pPr>
    </w:p>
    <w:p w14:paraId="54D57584">
      <w:pPr>
        <w:pStyle w:val="165"/>
        <w:numPr>
          <w:ilvl w:val="0"/>
          <w:numId w:val="0"/>
        </w:numPr>
      </w:pPr>
    </w:p>
    <w:p w14:paraId="62D485B1">
      <w:pPr>
        <w:pStyle w:val="165"/>
        <w:numPr>
          <w:ilvl w:val="0"/>
          <w:numId w:val="0"/>
        </w:numPr>
      </w:pPr>
    </w:p>
    <w:p w14:paraId="1F4A1000">
      <w:pPr>
        <w:pStyle w:val="165"/>
        <w:numPr>
          <w:ilvl w:val="0"/>
          <w:numId w:val="0"/>
        </w:numPr>
      </w:pPr>
    </w:p>
    <w:p w14:paraId="73E13834">
      <w:pPr>
        <w:pStyle w:val="165"/>
        <w:numPr>
          <w:ilvl w:val="0"/>
          <w:numId w:val="0"/>
        </w:numPr>
        <w:rPr>
          <w:rFonts w:hint="eastAsia"/>
        </w:rPr>
      </w:pPr>
    </w:p>
    <w:p w14:paraId="379D232F">
      <w:pPr>
        <w:pStyle w:val="112"/>
        <w:spacing w:before="120" w:after="120"/>
        <w:rPr>
          <w:rFonts w:hint="eastAsia"/>
        </w:rPr>
      </w:pPr>
      <w:r>
        <w:rPr>
          <w:rFonts w:hint="eastAsia"/>
        </w:rPr>
        <w:t>电缆熔接头的抽样试验</w:t>
      </w:r>
    </w:p>
    <w:tbl>
      <w:tblPr>
        <w:tblStyle w:val="26"/>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222"/>
        <w:gridCol w:w="4158"/>
        <w:gridCol w:w="3190"/>
      </w:tblGrid>
      <w:tr w14:paraId="681C35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222" w:type="dxa"/>
            <w:tcBorders>
              <w:top w:val="single" w:color="auto" w:sz="8" w:space="0"/>
              <w:left w:val="single" w:color="auto" w:sz="8" w:space="0"/>
              <w:bottom w:val="single" w:color="auto" w:sz="8" w:space="0"/>
              <w:right w:val="single" w:color="auto" w:sz="4" w:space="0"/>
            </w:tcBorders>
          </w:tcPr>
          <w:p w14:paraId="225B953F">
            <w:pPr>
              <w:pStyle w:val="57"/>
              <w:ind w:firstLine="420"/>
              <w:rPr>
                <w:rFonts w:hint="eastAsia"/>
              </w:rPr>
            </w:pPr>
            <w:r>
              <w:rPr>
                <w:rFonts w:hint="eastAsia"/>
              </w:rPr>
              <w:t>检验项目</w:t>
            </w:r>
          </w:p>
        </w:tc>
        <w:tc>
          <w:tcPr>
            <w:tcW w:w="4158" w:type="dxa"/>
            <w:tcBorders>
              <w:top w:val="single" w:color="auto" w:sz="8" w:space="0"/>
              <w:left w:val="single" w:color="auto" w:sz="4" w:space="0"/>
              <w:bottom w:val="single" w:color="auto" w:sz="8" w:space="0"/>
              <w:right w:val="single" w:color="auto" w:sz="4" w:space="0"/>
            </w:tcBorders>
          </w:tcPr>
          <w:p w14:paraId="2E795D31">
            <w:pPr>
              <w:pStyle w:val="57"/>
              <w:ind w:firstLine="420"/>
              <w:rPr>
                <w:rFonts w:hint="eastAsia"/>
              </w:rPr>
            </w:pPr>
            <w:r>
              <w:rPr>
                <w:rFonts w:hint="eastAsia"/>
              </w:rPr>
              <w:t>试验要求</w:t>
            </w:r>
          </w:p>
        </w:tc>
        <w:tc>
          <w:tcPr>
            <w:tcW w:w="3190" w:type="dxa"/>
            <w:tcBorders>
              <w:top w:val="single" w:color="auto" w:sz="8" w:space="0"/>
              <w:left w:val="single" w:color="auto" w:sz="4" w:space="0"/>
              <w:bottom w:val="single" w:color="auto" w:sz="8" w:space="0"/>
              <w:right w:val="single" w:color="auto" w:sz="8" w:space="0"/>
            </w:tcBorders>
          </w:tcPr>
          <w:p w14:paraId="00F8E956">
            <w:pPr>
              <w:pStyle w:val="57"/>
              <w:ind w:firstLine="420"/>
              <w:rPr>
                <w:rFonts w:hint="eastAsia"/>
              </w:rPr>
            </w:pPr>
            <w:r>
              <w:rPr>
                <w:rFonts w:hint="eastAsia"/>
              </w:rPr>
              <w:t>试验方法</w:t>
            </w:r>
          </w:p>
        </w:tc>
      </w:tr>
      <w:tr w14:paraId="2F3358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222" w:type="dxa"/>
            <w:tcBorders>
              <w:top w:val="single" w:color="auto" w:sz="8" w:space="0"/>
              <w:left w:val="single" w:color="auto" w:sz="8" w:space="0"/>
              <w:bottom w:val="single" w:color="auto" w:sz="4" w:space="0"/>
              <w:right w:val="single" w:color="auto" w:sz="4" w:space="0"/>
            </w:tcBorders>
          </w:tcPr>
          <w:p w14:paraId="1D2EDEE6">
            <w:pPr>
              <w:pStyle w:val="57"/>
              <w:ind w:firstLine="420"/>
              <w:rPr>
                <w:rFonts w:hint="eastAsia"/>
              </w:rPr>
            </w:pPr>
            <w:r>
              <w:rPr>
                <w:rFonts w:hint="eastAsia"/>
              </w:rPr>
              <w:t>交流耐压</w:t>
            </w:r>
          </w:p>
        </w:tc>
        <w:tc>
          <w:tcPr>
            <w:tcW w:w="4158" w:type="dxa"/>
            <w:tcBorders>
              <w:top w:val="single" w:color="auto" w:sz="8" w:space="0"/>
              <w:left w:val="single" w:color="auto" w:sz="4" w:space="0"/>
              <w:bottom w:val="single" w:color="auto" w:sz="4" w:space="0"/>
              <w:right w:val="single" w:color="auto" w:sz="4" w:space="0"/>
            </w:tcBorders>
          </w:tcPr>
          <w:p w14:paraId="2A29ED6E">
            <w:pPr>
              <w:pStyle w:val="57"/>
              <w:ind w:firstLine="420"/>
              <w:rPr>
                <w:rFonts w:hint="eastAsia"/>
              </w:rPr>
            </w:pPr>
            <w:r>
              <w:rPr>
                <w:rFonts w:hint="eastAsia"/>
              </w:rPr>
              <w:t>4.5</w:t>
            </w:r>
            <w:r>
              <w:rPr>
                <w:rFonts w:hint="eastAsia"/>
                <w:i/>
              </w:rPr>
              <w:t>U</w:t>
            </w:r>
            <w:r>
              <w:rPr>
                <w:rFonts w:hint="eastAsia"/>
                <w:vertAlign w:val="subscript"/>
              </w:rPr>
              <w:t>0</w:t>
            </w:r>
            <w:r>
              <w:rPr>
                <w:rFonts w:hint="eastAsia"/>
              </w:rPr>
              <w:t>，5min，不击穿、不闪络</w:t>
            </w:r>
          </w:p>
        </w:tc>
        <w:tc>
          <w:tcPr>
            <w:tcW w:w="3190" w:type="dxa"/>
            <w:tcBorders>
              <w:top w:val="single" w:color="auto" w:sz="8" w:space="0"/>
              <w:left w:val="single" w:color="auto" w:sz="4" w:space="0"/>
              <w:bottom w:val="single" w:color="auto" w:sz="4" w:space="0"/>
              <w:right w:val="single" w:color="auto" w:sz="8" w:space="0"/>
            </w:tcBorders>
          </w:tcPr>
          <w:p w14:paraId="25866091">
            <w:pPr>
              <w:pStyle w:val="57"/>
              <w:ind w:firstLine="420"/>
              <w:rPr>
                <w:rFonts w:hint="eastAsia"/>
              </w:rPr>
            </w:pPr>
            <w:r>
              <w:rPr>
                <w:rFonts w:hint="eastAsia"/>
              </w:rPr>
              <w:t>GB/T 18889—2002 第4章</w:t>
            </w:r>
          </w:p>
        </w:tc>
      </w:tr>
      <w:tr w14:paraId="749F6C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222" w:type="dxa"/>
            <w:tcBorders>
              <w:top w:val="single" w:color="auto" w:sz="4" w:space="0"/>
              <w:left w:val="single" w:color="auto" w:sz="8" w:space="0"/>
              <w:bottom w:val="single" w:color="auto" w:sz="4" w:space="0"/>
              <w:right w:val="single" w:color="auto" w:sz="4" w:space="0"/>
            </w:tcBorders>
          </w:tcPr>
          <w:p w14:paraId="5FDF4D9A">
            <w:pPr>
              <w:pStyle w:val="57"/>
              <w:ind w:firstLine="420"/>
              <w:rPr>
                <w:rFonts w:hint="eastAsia"/>
              </w:rPr>
            </w:pPr>
            <w:r>
              <w:rPr>
                <w:rFonts w:hint="eastAsia"/>
              </w:rPr>
              <w:t>局部放电</w:t>
            </w:r>
          </w:p>
        </w:tc>
        <w:tc>
          <w:tcPr>
            <w:tcW w:w="4158" w:type="dxa"/>
            <w:tcBorders>
              <w:top w:val="single" w:color="auto" w:sz="4" w:space="0"/>
              <w:left w:val="single" w:color="auto" w:sz="4" w:space="0"/>
              <w:bottom w:val="single" w:color="auto" w:sz="4" w:space="0"/>
              <w:right w:val="single" w:color="auto" w:sz="4" w:space="0"/>
            </w:tcBorders>
          </w:tcPr>
          <w:p w14:paraId="14B10715">
            <w:pPr>
              <w:pStyle w:val="57"/>
              <w:ind w:firstLine="420"/>
              <w:rPr>
                <w:rFonts w:hint="eastAsia"/>
              </w:rPr>
            </w:pPr>
            <w:r>
              <w:rPr>
                <w:rFonts w:hint="eastAsia"/>
              </w:rPr>
              <w:t>1.73</w:t>
            </w:r>
            <w:r>
              <w:rPr>
                <w:rFonts w:hint="eastAsia"/>
                <w:i/>
              </w:rPr>
              <w:t>U</w:t>
            </w:r>
            <w:r>
              <w:rPr>
                <w:rFonts w:hint="eastAsia"/>
                <w:vertAlign w:val="subscript"/>
              </w:rPr>
              <w:t>0</w:t>
            </w:r>
            <w:r>
              <w:rPr>
                <w:rFonts w:hint="eastAsia"/>
              </w:rPr>
              <w:t>，≤5pC</w:t>
            </w:r>
          </w:p>
        </w:tc>
        <w:tc>
          <w:tcPr>
            <w:tcW w:w="3190" w:type="dxa"/>
            <w:tcBorders>
              <w:top w:val="single" w:color="auto" w:sz="4" w:space="0"/>
              <w:left w:val="single" w:color="auto" w:sz="4" w:space="0"/>
              <w:bottom w:val="single" w:color="auto" w:sz="4" w:space="0"/>
              <w:right w:val="single" w:color="auto" w:sz="8" w:space="0"/>
            </w:tcBorders>
          </w:tcPr>
          <w:p w14:paraId="666966F3">
            <w:pPr>
              <w:pStyle w:val="57"/>
              <w:ind w:firstLine="420"/>
              <w:rPr>
                <w:rFonts w:hint="eastAsia"/>
              </w:rPr>
            </w:pPr>
            <w:r>
              <w:rPr>
                <w:rFonts w:hint="eastAsia"/>
              </w:rPr>
              <w:t>GB/T 18889—2002 第7章</w:t>
            </w:r>
          </w:p>
        </w:tc>
      </w:tr>
      <w:tr w14:paraId="253FCE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222" w:type="dxa"/>
            <w:tcBorders>
              <w:top w:val="single" w:color="auto" w:sz="4" w:space="0"/>
              <w:left w:val="single" w:color="auto" w:sz="8" w:space="0"/>
              <w:bottom w:val="single" w:color="auto" w:sz="4" w:space="0"/>
              <w:right w:val="single" w:color="auto" w:sz="4" w:space="0"/>
            </w:tcBorders>
          </w:tcPr>
          <w:p w14:paraId="2314CCEC">
            <w:pPr>
              <w:pStyle w:val="57"/>
              <w:ind w:firstLine="420"/>
              <w:rPr>
                <w:rFonts w:hint="eastAsia"/>
              </w:rPr>
            </w:pPr>
            <w:r>
              <w:rPr>
                <w:rFonts w:hint="eastAsia"/>
              </w:rPr>
              <w:t>负荷循环</w:t>
            </w:r>
          </w:p>
        </w:tc>
        <w:tc>
          <w:tcPr>
            <w:tcW w:w="4158" w:type="dxa"/>
            <w:tcBorders>
              <w:top w:val="single" w:color="auto" w:sz="4" w:space="0"/>
              <w:left w:val="single" w:color="auto" w:sz="4" w:space="0"/>
              <w:bottom w:val="single" w:color="auto" w:sz="4" w:space="0"/>
              <w:right w:val="single" w:color="auto" w:sz="4" w:space="0"/>
            </w:tcBorders>
          </w:tcPr>
          <w:p w14:paraId="70062FE8">
            <w:pPr>
              <w:pStyle w:val="57"/>
              <w:ind w:firstLine="420"/>
              <w:rPr>
                <w:rFonts w:hint="eastAsia"/>
              </w:rPr>
            </w:pPr>
            <w:r>
              <w:rPr>
                <w:rFonts w:hint="eastAsia"/>
              </w:rPr>
              <w:t>在</w:t>
            </w:r>
            <w:r>
              <w:rPr>
                <w:rFonts w:hint="eastAsia"/>
                <w:i/>
                <w:iCs/>
              </w:rPr>
              <w:t>θ</w:t>
            </w:r>
            <w:r>
              <w:rPr>
                <w:rFonts w:hint="eastAsia"/>
                <w:vertAlign w:val="subscript"/>
              </w:rPr>
              <w:t>t</w:t>
            </w:r>
            <w:r>
              <w:rPr>
                <w:rFonts w:hint="eastAsia"/>
                <w:vertAlign w:val="superscript"/>
              </w:rPr>
              <w:t>a</w:t>
            </w:r>
            <w:r>
              <w:rPr>
                <w:rFonts w:hint="eastAsia"/>
              </w:rPr>
              <w:t>温度下，在空气中，循环3次，不加电压</w:t>
            </w:r>
          </w:p>
        </w:tc>
        <w:tc>
          <w:tcPr>
            <w:tcW w:w="3190" w:type="dxa"/>
            <w:tcBorders>
              <w:top w:val="single" w:color="auto" w:sz="4" w:space="0"/>
              <w:left w:val="single" w:color="auto" w:sz="4" w:space="0"/>
              <w:bottom w:val="single" w:color="auto" w:sz="4" w:space="0"/>
              <w:right w:val="single" w:color="auto" w:sz="8" w:space="0"/>
            </w:tcBorders>
          </w:tcPr>
          <w:p w14:paraId="3868BDA2">
            <w:pPr>
              <w:pStyle w:val="57"/>
              <w:ind w:firstLine="420"/>
              <w:rPr>
                <w:rFonts w:hint="eastAsia"/>
              </w:rPr>
            </w:pPr>
            <w:r>
              <w:rPr>
                <w:rFonts w:hint="eastAsia"/>
              </w:rPr>
              <w:t>GB/T 18889—2002 第9章</w:t>
            </w:r>
          </w:p>
        </w:tc>
      </w:tr>
      <w:tr w14:paraId="026406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222" w:type="dxa"/>
            <w:tcBorders>
              <w:top w:val="single" w:color="auto" w:sz="4" w:space="0"/>
              <w:left w:val="single" w:color="auto" w:sz="8" w:space="0"/>
              <w:bottom w:val="single" w:color="auto" w:sz="4" w:space="0"/>
              <w:right w:val="single" w:color="auto" w:sz="4" w:space="0"/>
            </w:tcBorders>
          </w:tcPr>
          <w:p w14:paraId="1BE154B3">
            <w:pPr>
              <w:pStyle w:val="57"/>
              <w:ind w:firstLine="420"/>
              <w:rPr>
                <w:rFonts w:hint="eastAsia"/>
              </w:rPr>
            </w:pPr>
            <w:r>
              <w:rPr>
                <w:rFonts w:hint="eastAsia"/>
              </w:rPr>
              <w:t>局部放电</w:t>
            </w:r>
          </w:p>
        </w:tc>
        <w:tc>
          <w:tcPr>
            <w:tcW w:w="4158" w:type="dxa"/>
            <w:tcBorders>
              <w:top w:val="single" w:color="auto" w:sz="4" w:space="0"/>
              <w:left w:val="single" w:color="auto" w:sz="4" w:space="0"/>
              <w:bottom w:val="single" w:color="auto" w:sz="4" w:space="0"/>
              <w:right w:val="single" w:color="auto" w:sz="4" w:space="0"/>
            </w:tcBorders>
          </w:tcPr>
          <w:p w14:paraId="2E7B0EDA">
            <w:pPr>
              <w:pStyle w:val="57"/>
              <w:ind w:firstLine="420"/>
              <w:rPr>
                <w:rFonts w:hint="eastAsia"/>
              </w:rPr>
            </w:pPr>
            <w:r>
              <w:rPr>
                <w:rFonts w:hint="eastAsia"/>
              </w:rPr>
              <w:t>1.73</w:t>
            </w:r>
            <w:r>
              <w:rPr>
                <w:rFonts w:hint="eastAsia"/>
                <w:i/>
              </w:rPr>
              <w:t>U</w:t>
            </w:r>
            <w:r>
              <w:rPr>
                <w:rFonts w:hint="eastAsia"/>
                <w:vertAlign w:val="subscript"/>
              </w:rPr>
              <w:t>0</w:t>
            </w:r>
            <w:r>
              <w:rPr>
                <w:rFonts w:hint="eastAsia"/>
              </w:rPr>
              <w:t>，≤5pC</w:t>
            </w:r>
          </w:p>
        </w:tc>
        <w:tc>
          <w:tcPr>
            <w:tcW w:w="3190" w:type="dxa"/>
            <w:tcBorders>
              <w:top w:val="single" w:color="auto" w:sz="4" w:space="0"/>
              <w:left w:val="single" w:color="auto" w:sz="4" w:space="0"/>
              <w:bottom w:val="single" w:color="auto" w:sz="4" w:space="0"/>
              <w:right w:val="single" w:color="auto" w:sz="8" w:space="0"/>
            </w:tcBorders>
          </w:tcPr>
          <w:p w14:paraId="41F58109">
            <w:pPr>
              <w:pStyle w:val="57"/>
              <w:ind w:firstLine="420"/>
              <w:rPr>
                <w:rFonts w:hint="eastAsia"/>
              </w:rPr>
            </w:pPr>
            <w:r>
              <w:rPr>
                <w:rFonts w:hint="eastAsia"/>
              </w:rPr>
              <w:t>GB/T 18889—2002 第7章</w:t>
            </w:r>
          </w:p>
        </w:tc>
      </w:tr>
      <w:tr w14:paraId="558AE0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222" w:type="dxa"/>
            <w:tcBorders>
              <w:top w:val="single" w:color="auto" w:sz="4" w:space="0"/>
              <w:left w:val="single" w:color="auto" w:sz="8" w:space="0"/>
              <w:bottom w:val="single" w:color="auto" w:sz="4" w:space="0"/>
              <w:right w:val="single" w:color="auto" w:sz="4" w:space="0"/>
            </w:tcBorders>
          </w:tcPr>
          <w:p w14:paraId="526663E1">
            <w:pPr>
              <w:pStyle w:val="57"/>
              <w:ind w:firstLine="420"/>
              <w:rPr>
                <w:rFonts w:hint="eastAsia"/>
              </w:rPr>
            </w:pPr>
            <w:r>
              <w:rPr>
                <w:rFonts w:hint="eastAsia"/>
              </w:rPr>
              <w:t>冲击试验</w:t>
            </w:r>
          </w:p>
        </w:tc>
        <w:tc>
          <w:tcPr>
            <w:tcW w:w="4158" w:type="dxa"/>
            <w:tcBorders>
              <w:top w:val="single" w:color="auto" w:sz="4" w:space="0"/>
              <w:left w:val="single" w:color="auto" w:sz="4" w:space="0"/>
              <w:bottom w:val="single" w:color="auto" w:sz="4" w:space="0"/>
              <w:right w:val="single" w:color="auto" w:sz="4" w:space="0"/>
            </w:tcBorders>
          </w:tcPr>
          <w:p w14:paraId="3D12946B">
            <w:pPr>
              <w:pStyle w:val="57"/>
              <w:ind w:firstLine="420"/>
              <w:rPr>
                <w:rFonts w:hint="eastAsia"/>
              </w:rPr>
            </w:pPr>
            <w:r>
              <w:rPr>
                <w:rFonts w:hint="eastAsia"/>
              </w:rPr>
              <w:t>正负极性各冲击10次，不击穿、不闪络</w:t>
            </w:r>
          </w:p>
        </w:tc>
        <w:tc>
          <w:tcPr>
            <w:tcW w:w="3190" w:type="dxa"/>
            <w:tcBorders>
              <w:top w:val="single" w:color="auto" w:sz="4" w:space="0"/>
              <w:left w:val="single" w:color="auto" w:sz="4" w:space="0"/>
              <w:bottom w:val="single" w:color="auto" w:sz="4" w:space="0"/>
              <w:right w:val="single" w:color="auto" w:sz="8" w:space="0"/>
            </w:tcBorders>
          </w:tcPr>
          <w:p w14:paraId="0CD4AA03">
            <w:pPr>
              <w:pStyle w:val="57"/>
              <w:ind w:firstLine="420"/>
              <w:rPr>
                <w:rFonts w:hint="eastAsia"/>
              </w:rPr>
            </w:pPr>
            <w:r>
              <w:rPr>
                <w:rFonts w:hint="eastAsia"/>
              </w:rPr>
              <w:t>GB/T 18889—2002 第6章</w:t>
            </w:r>
          </w:p>
        </w:tc>
      </w:tr>
      <w:tr w14:paraId="5FEF73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222" w:type="dxa"/>
            <w:tcBorders>
              <w:top w:val="single" w:color="auto" w:sz="4" w:space="0"/>
              <w:left w:val="single" w:color="auto" w:sz="8" w:space="0"/>
              <w:bottom w:val="single" w:color="auto" w:sz="4" w:space="0"/>
              <w:right w:val="single" w:color="auto" w:sz="4" w:space="0"/>
            </w:tcBorders>
          </w:tcPr>
          <w:p w14:paraId="4BC402F6">
            <w:pPr>
              <w:pStyle w:val="57"/>
              <w:ind w:firstLine="420"/>
              <w:rPr>
                <w:rFonts w:hint="eastAsia"/>
              </w:rPr>
            </w:pPr>
            <w:r>
              <w:rPr>
                <w:rFonts w:hint="eastAsia"/>
              </w:rPr>
              <w:t>4h工频耐压</w:t>
            </w:r>
          </w:p>
        </w:tc>
        <w:tc>
          <w:tcPr>
            <w:tcW w:w="4158" w:type="dxa"/>
            <w:tcBorders>
              <w:top w:val="single" w:color="auto" w:sz="4" w:space="0"/>
              <w:left w:val="single" w:color="auto" w:sz="4" w:space="0"/>
              <w:bottom w:val="single" w:color="auto" w:sz="4" w:space="0"/>
              <w:right w:val="single" w:color="auto" w:sz="4" w:space="0"/>
            </w:tcBorders>
          </w:tcPr>
          <w:p w14:paraId="39B27614">
            <w:pPr>
              <w:pStyle w:val="57"/>
              <w:ind w:firstLine="420"/>
              <w:rPr>
                <w:rFonts w:hint="eastAsia"/>
              </w:rPr>
            </w:pPr>
            <w:r>
              <w:rPr>
                <w:rFonts w:hint="eastAsia"/>
              </w:rPr>
              <w:t>4</w:t>
            </w:r>
            <w:r>
              <w:rPr>
                <w:rFonts w:hint="eastAsia"/>
                <w:i/>
              </w:rPr>
              <w:t>U</w:t>
            </w:r>
            <w:r>
              <w:rPr>
                <w:rFonts w:hint="eastAsia"/>
                <w:vertAlign w:val="subscript"/>
              </w:rPr>
              <w:t>0</w:t>
            </w:r>
            <w:r>
              <w:rPr>
                <w:rFonts w:hint="eastAsia"/>
              </w:rPr>
              <w:t>，4h，不击穿、不闪络</w:t>
            </w:r>
          </w:p>
        </w:tc>
        <w:tc>
          <w:tcPr>
            <w:tcW w:w="3190" w:type="dxa"/>
            <w:tcBorders>
              <w:top w:val="single" w:color="auto" w:sz="4" w:space="0"/>
              <w:left w:val="single" w:color="auto" w:sz="4" w:space="0"/>
              <w:bottom w:val="single" w:color="auto" w:sz="4" w:space="0"/>
              <w:right w:val="single" w:color="auto" w:sz="8" w:space="0"/>
            </w:tcBorders>
          </w:tcPr>
          <w:p w14:paraId="0E68A786">
            <w:pPr>
              <w:pStyle w:val="57"/>
              <w:ind w:firstLine="420"/>
              <w:rPr>
                <w:rFonts w:hint="eastAsia"/>
              </w:rPr>
            </w:pPr>
            <w:r>
              <w:rPr>
                <w:rFonts w:hint="eastAsia"/>
              </w:rPr>
              <w:t>GB/T 18889—2002 第4章</w:t>
            </w:r>
          </w:p>
        </w:tc>
      </w:tr>
      <w:tr w14:paraId="6E85BC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70" w:type="dxa"/>
            <w:gridSpan w:val="3"/>
            <w:tcBorders>
              <w:top w:val="single" w:color="auto" w:sz="4" w:space="0"/>
              <w:left w:val="single" w:color="auto" w:sz="8" w:space="0"/>
              <w:bottom w:val="single" w:color="auto" w:sz="8" w:space="0"/>
              <w:right w:val="single" w:color="auto" w:sz="8" w:space="0"/>
            </w:tcBorders>
          </w:tcPr>
          <w:p w14:paraId="002A36D2">
            <w:pPr>
              <w:pStyle w:val="57"/>
              <w:ind w:firstLine="420"/>
              <w:rPr>
                <w:rFonts w:hint="eastAsia"/>
              </w:rPr>
            </w:pPr>
            <w:r>
              <w:rPr>
                <w:rFonts w:hint="eastAsia"/>
              </w:rPr>
              <w:t>a—</w:t>
            </w:r>
            <w:r>
              <w:rPr>
                <w:rFonts w:hint="eastAsia"/>
                <w:i/>
                <w:iCs/>
              </w:rPr>
              <w:t>θ</w:t>
            </w:r>
            <w:r>
              <w:rPr>
                <w:rFonts w:hint="eastAsia"/>
                <w:vertAlign w:val="subscript"/>
              </w:rPr>
              <w:t>t</w:t>
            </w:r>
            <w:r>
              <w:rPr>
                <w:rFonts w:hint="eastAsia"/>
              </w:rPr>
              <w:t>温度为电缆正常运行时最高导体温度以上（5～10）℃。</w:t>
            </w:r>
          </w:p>
        </w:tc>
      </w:tr>
    </w:tbl>
    <w:p w14:paraId="1BAEABFE">
      <w:pPr>
        <w:pStyle w:val="57"/>
        <w:ind w:firstLine="420"/>
        <w:rPr>
          <w:rFonts w:hint="eastAsia"/>
        </w:rPr>
      </w:pPr>
      <w:r>
        <w:rPr>
          <w:rFonts w:hint="eastAsia"/>
        </w:rPr>
        <w:t xml:space="preserve"> </w:t>
      </w:r>
    </w:p>
    <w:p w14:paraId="1708FEED">
      <w:pPr>
        <w:pStyle w:val="165"/>
        <w:rPr>
          <w:rFonts w:hint="eastAsia"/>
        </w:rPr>
      </w:pPr>
      <w:r>
        <w:rPr>
          <w:rFonts w:hint="eastAsia"/>
        </w:rPr>
        <w:t>正常生产时每3年应按表3的要求进行产品的抽样试验，当用户提出要求时，经双方写上同意后也应按以上要求进行抽样试验。试验数量为每批次电缆熔接头的抽取比例不低于2‰，最小抽样数量为2套。</w:t>
      </w:r>
    </w:p>
    <w:p w14:paraId="4F2880CB">
      <w:pPr>
        <w:pStyle w:val="165"/>
        <w:rPr>
          <w:rFonts w:hint="eastAsia"/>
        </w:rPr>
      </w:pPr>
      <w:r>
        <w:rPr>
          <w:rFonts w:hint="eastAsia"/>
        </w:rPr>
        <w:t>复试</w:t>
      </w:r>
    </w:p>
    <w:p w14:paraId="5FE1DC83">
      <w:pPr>
        <w:pStyle w:val="57"/>
        <w:ind w:firstLine="420"/>
        <w:rPr>
          <w:rFonts w:hint="eastAsia"/>
        </w:rPr>
      </w:pPr>
      <w:r>
        <w:t>如果任一试样没有通过表2中的任一试验，应从同一批次中再取2个附加试样重新试验。如果2个附加试样都合格，样品所取批次的电缆应认为符合要求。如果加试试样有一个试样不合格，则认为该批次电缆熔接头不符合要求。</w:t>
      </w:r>
    </w:p>
    <w:p w14:paraId="76D57596">
      <w:pPr>
        <w:pStyle w:val="105"/>
        <w:spacing w:before="120" w:after="120"/>
      </w:pPr>
      <w:bookmarkStart w:id="90" w:name="_Toc181625050"/>
      <w:bookmarkStart w:id="91" w:name="_Toc181625022"/>
      <w:r>
        <w:rPr>
          <w:rFonts w:hint="eastAsia"/>
        </w:rPr>
        <w:t>竣工试验</w:t>
      </w:r>
      <w:bookmarkEnd w:id="90"/>
      <w:bookmarkEnd w:id="91"/>
    </w:p>
    <w:p w14:paraId="760D0030">
      <w:pPr>
        <w:pStyle w:val="165"/>
        <w:rPr>
          <w:rFonts w:hint="eastAsia"/>
        </w:rPr>
      </w:pPr>
      <w:r>
        <w:rPr>
          <w:rFonts w:hint="eastAsia"/>
        </w:rPr>
        <w:t>产品现场制作安装完毕后按GB 50150《电气装置安装工程电气设备交接试验标准》规定（表4）进行相关试验。</w:t>
      </w:r>
    </w:p>
    <w:p w14:paraId="6BCD25A6">
      <w:pPr>
        <w:pStyle w:val="112"/>
        <w:spacing w:before="120" w:after="120"/>
        <w:rPr>
          <w:rFonts w:hint="eastAsia"/>
        </w:rPr>
      </w:pPr>
      <w:r>
        <w:rPr>
          <w:rFonts w:hint="eastAsia"/>
        </w:rPr>
        <w:t>交联聚乙烯绝缘电缆</w:t>
      </w:r>
      <w:r>
        <w:t>20Hz～300Hz</w:t>
      </w:r>
      <w:r>
        <w:rPr>
          <w:rFonts w:hint="eastAsia"/>
        </w:rPr>
        <w:t>交流耐压试验</w:t>
      </w:r>
    </w:p>
    <w:tbl>
      <w:tblPr>
        <w:tblStyle w:val="26"/>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190"/>
        <w:gridCol w:w="3190"/>
        <w:gridCol w:w="3190"/>
      </w:tblGrid>
      <w:tr w14:paraId="655EF0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90" w:type="dxa"/>
            <w:tcBorders>
              <w:top w:val="single" w:color="auto" w:sz="8" w:space="0"/>
              <w:left w:val="single" w:color="auto" w:sz="8" w:space="0"/>
              <w:bottom w:val="single" w:color="auto" w:sz="8" w:space="0"/>
              <w:right w:val="single" w:color="auto" w:sz="4" w:space="0"/>
            </w:tcBorders>
          </w:tcPr>
          <w:p w14:paraId="382A4705">
            <w:pPr>
              <w:pStyle w:val="57"/>
              <w:ind w:firstLine="420"/>
              <w:rPr>
                <w:rFonts w:hint="eastAsia"/>
              </w:rPr>
            </w:pPr>
            <w:r>
              <w:rPr>
                <w:rFonts w:hint="eastAsia"/>
              </w:rPr>
              <w:t>额定电压</w:t>
            </w:r>
            <w:r>
              <w:rPr>
                <w:rFonts w:hint="eastAsia"/>
                <w:i/>
              </w:rPr>
              <w:t>U</w:t>
            </w:r>
            <w:r>
              <w:rPr>
                <w:rFonts w:hint="eastAsia"/>
                <w:vertAlign w:val="subscript"/>
              </w:rPr>
              <w:t>0</w:t>
            </w:r>
            <w:r>
              <w:rPr>
                <w:rFonts w:hint="eastAsia"/>
              </w:rPr>
              <w:t>/</w:t>
            </w:r>
            <w:r>
              <w:rPr>
                <w:rFonts w:hint="eastAsia"/>
                <w:i/>
              </w:rPr>
              <w:t>U</w:t>
            </w:r>
          </w:p>
        </w:tc>
        <w:tc>
          <w:tcPr>
            <w:tcW w:w="3190" w:type="dxa"/>
            <w:tcBorders>
              <w:top w:val="single" w:color="auto" w:sz="8" w:space="0"/>
              <w:left w:val="single" w:color="auto" w:sz="4" w:space="0"/>
              <w:bottom w:val="single" w:color="auto" w:sz="8" w:space="0"/>
              <w:right w:val="single" w:color="auto" w:sz="4" w:space="0"/>
            </w:tcBorders>
          </w:tcPr>
          <w:p w14:paraId="48F34C14">
            <w:pPr>
              <w:pStyle w:val="57"/>
              <w:ind w:firstLine="420"/>
              <w:rPr>
                <w:rFonts w:hint="eastAsia"/>
              </w:rPr>
            </w:pPr>
            <w:r>
              <w:rPr>
                <w:rFonts w:hint="eastAsia"/>
              </w:rPr>
              <w:t>试验电压</w:t>
            </w:r>
          </w:p>
        </w:tc>
        <w:tc>
          <w:tcPr>
            <w:tcW w:w="3190" w:type="dxa"/>
            <w:tcBorders>
              <w:top w:val="single" w:color="auto" w:sz="8" w:space="0"/>
              <w:left w:val="single" w:color="auto" w:sz="4" w:space="0"/>
              <w:bottom w:val="single" w:color="auto" w:sz="8" w:space="0"/>
              <w:right w:val="single" w:color="auto" w:sz="8" w:space="0"/>
            </w:tcBorders>
          </w:tcPr>
          <w:p w14:paraId="38BA7D1F">
            <w:pPr>
              <w:pStyle w:val="57"/>
              <w:ind w:firstLine="420"/>
              <w:rPr>
                <w:rFonts w:hint="eastAsia"/>
              </w:rPr>
            </w:pPr>
            <w:r>
              <w:rPr>
                <w:rFonts w:hint="eastAsia"/>
              </w:rPr>
              <w:t>时间（min）</w:t>
            </w:r>
          </w:p>
        </w:tc>
      </w:tr>
      <w:tr w14:paraId="061229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90" w:type="dxa"/>
            <w:tcBorders>
              <w:top w:val="single" w:color="auto" w:sz="8" w:space="0"/>
              <w:left w:val="single" w:color="auto" w:sz="8" w:space="0"/>
              <w:bottom w:val="single" w:color="auto" w:sz="4" w:space="0"/>
              <w:right w:val="single" w:color="auto" w:sz="4" w:space="0"/>
            </w:tcBorders>
          </w:tcPr>
          <w:p w14:paraId="0642B061">
            <w:pPr>
              <w:pStyle w:val="57"/>
              <w:ind w:firstLine="420"/>
              <w:rPr>
                <w:rFonts w:hint="eastAsia"/>
              </w:rPr>
            </w:pPr>
            <w:r>
              <w:rPr>
                <w:rFonts w:hint="eastAsia"/>
              </w:rPr>
              <w:t>18/30kV及以下</w:t>
            </w:r>
          </w:p>
        </w:tc>
        <w:tc>
          <w:tcPr>
            <w:tcW w:w="3190" w:type="dxa"/>
            <w:tcBorders>
              <w:top w:val="single" w:color="auto" w:sz="8" w:space="0"/>
              <w:left w:val="single" w:color="auto" w:sz="4" w:space="0"/>
              <w:bottom w:val="single" w:color="auto" w:sz="4" w:space="0"/>
              <w:right w:val="single" w:color="auto" w:sz="4" w:space="0"/>
            </w:tcBorders>
          </w:tcPr>
          <w:p w14:paraId="477522D3">
            <w:pPr>
              <w:pStyle w:val="57"/>
              <w:ind w:firstLine="420"/>
              <w:rPr>
                <w:rFonts w:hint="eastAsia"/>
              </w:rPr>
            </w:pPr>
            <w:r>
              <w:rPr>
                <w:rFonts w:hint="eastAsia"/>
              </w:rPr>
              <w:t>2</w:t>
            </w:r>
            <w:r>
              <w:rPr>
                <w:rFonts w:hint="eastAsia"/>
                <w:i/>
              </w:rPr>
              <w:t>U</w:t>
            </w:r>
            <w:r>
              <w:rPr>
                <w:rFonts w:hint="eastAsia"/>
                <w:vertAlign w:val="subscript"/>
              </w:rPr>
              <w:t>0</w:t>
            </w:r>
          </w:p>
        </w:tc>
        <w:tc>
          <w:tcPr>
            <w:tcW w:w="3190" w:type="dxa"/>
            <w:tcBorders>
              <w:top w:val="single" w:color="auto" w:sz="8" w:space="0"/>
              <w:left w:val="single" w:color="auto" w:sz="4" w:space="0"/>
              <w:bottom w:val="single" w:color="auto" w:sz="4" w:space="0"/>
              <w:right w:val="single" w:color="auto" w:sz="8" w:space="0"/>
            </w:tcBorders>
          </w:tcPr>
          <w:p w14:paraId="73C5CB38">
            <w:pPr>
              <w:pStyle w:val="57"/>
              <w:ind w:firstLine="420"/>
              <w:rPr>
                <w:rFonts w:hint="eastAsia"/>
              </w:rPr>
            </w:pPr>
            <w:r>
              <w:rPr>
                <w:rFonts w:hint="eastAsia"/>
              </w:rPr>
              <w:t>15（60）</w:t>
            </w:r>
          </w:p>
        </w:tc>
      </w:tr>
      <w:tr w14:paraId="764568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3190" w:type="dxa"/>
            <w:tcBorders>
              <w:top w:val="single" w:color="auto" w:sz="4" w:space="0"/>
              <w:left w:val="single" w:color="auto" w:sz="8" w:space="0"/>
              <w:bottom w:val="single" w:color="auto" w:sz="8" w:space="0"/>
              <w:right w:val="single" w:color="auto" w:sz="4" w:space="0"/>
            </w:tcBorders>
          </w:tcPr>
          <w:p w14:paraId="01E1B87D">
            <w:pPr>
              <w:pStyle w:val="57"/>
              <w:ind w:firstLine="420"/>
              <w:rPr>
                <w:rFonts w:hint="eastAsia"/>
              </w:rPr>
            </w:pPr>
            <w:r>
              <w:rPr>
                <w:rFonts w:hint="eastAsia"/>
              </w:rPr>
              <w:t>21/35kV、26/35kV</w:t>
            </w:r>
          </w:p>
        </w:tc>
        <w:tc>
          <w:tcPr>
            <w:tcW w:w="3190" w:type="dxa"/>
            <w:tcBorders>
              <w:top w:val="single" w:color="auto" w:sz="4" w:space="0"/>
              <w:left w:val="single" w:color="auto" w:sz="4" w:space="0"/>
              <w:bottom w:val="single" w:color="auto" w:sz="8" w:space="0"/>
              <w:right w:val="single" w:color="auto" w:sz="4" w:space="0"/>
            </w:tcBorders>
          </w:tcPr>
          <w:p w14:paraId="4B6F4443">
            <w:pPr>
              <w:pStyle w:val="57"/>
              <w:ind w:firstLine="420"/>
              <w:rPr>
                <w:rFonts w:hint="eastAsia"/>
              </w:rPr>
            </w:pPr>
            <w:r>
              <w:rPr>
                <w:rFonts w:hint="eastAsia"/>
              </w:rPr>
              <w:t>2</w:t>
            </w:r>
            <w:r>
              <w:rPr>
                <w:rFonts w:hint="eastAsia"/>
                <w:i/>
              </w:rPr>
              <w:t>U</w:t>
            </w:r>
            <w:r>
              <w:rPr>
                <w:rFonts w:hint="eastAsia"/>
                <w:vertAlign w:val="subscript"/>
              </w:rPr>
              <w:t>0</w:t>
            </w:r>
          </w:p>
        </w:tc>
        <w:tc>
          <w:tcPr>
            <w:tcW w:w="3190" w:type="dxa"/>
            <w:tcBorders>
              <w:top w:val="single" w:color="auto" w:sz="4" w:space="0"/>
              <w:left w:val="single" w:color="auto" w:sz="4" w:space="0"/>
              <w:bottom w:val="single" w:color="auto" w:sz="8" w:space="0"/>
              <w:right w:val="single" w:color="auto" w:sz="8" w:space="0"/>
            </w:tcBorders>
          </w:tcPr>
          <w:p w14:paraId="069AA8AB">
            <w:pPr>
              <w:pStyle w:val="57"/>
              <w:ind w:firstLine="420"/>
              <w:rPr>
                <w:rFonts w:hint="eastAsia"/>
              </w:rPr>
            </w:pPr>
            <w:r>
              <w:rPr>
                <w:rFonts w:hint="eastAsia"/>
              </w:rPr>
              <w:t>60</w:t>
            </w:r>
          </w:p>
        </w:tc>
      </w:tr>
    </w:tbl>
    <w:p w14:paraId="5FD7773B">
      <w:pPr>
        <w:pStyle w:val="57"/>
        <w:ind w:firstLine="420"/>
        <w:rPr>
          <w:rFonts w:hint="eastAsia"/>
        </w:rPr>
      </w:pPr>
      <w:r>
        <w:rPr>
          <w:rFonts w:hint="eastAsia"/>
        </w:rPr>
        <w:t xml:space="preserve"> </w:t>
      </w:r>
    </w:p>
    <w:p w14:paraId="68060D8A">
      <w:pPr>
        <w:pStyle w:val="165"/>
        <w:rPr>
          <w:rFonts w:hint="eastAsia"/>
        </w:rPr>
      </w:pPr>
      <w:r>
        <w:rPr>
          <w:rFonts w:hint="eastAsia"/>
        </w:rPr>
        <w:t>不具备上述试验条件或有特殊规定时，可采用施加正常系统对地电压24h方法代替交流耐压。</w:t>
      </w:r>
    </w:p>
    <w:p w14:paraId="72618A7D">
      <w:pPr>
        <w:pStyle w:val="104"/>
        <w:spacing w:before="240" w:after="240"/>
        <w:rPr>
          <w:szCs w:val="21"/>
        </w:rPr>
      </w:pPr>
      <w:bookmarkStart w:id="92" w:name="_Toc181625023"/>
      <w:bookmarkStart w:id="93" w:name="_Toc181625051"/>
      <w:r>
        <w:rPr>
          <w:rFonts w:hint="eastAsia"/>
        </w:rPr>
        <w:t>检验验收规则</w:t>
      </w:r>
      <w:bookmarkEnd w:id="92"/>
      <w:bookmarkEnd w:id="93"/>
    </w:p>
    <w:p w14:paraId="230AD8BF">
      <w:pPr>
        <w:pStyle w:val="162"/>
        <w:rPr>
          <w:rFonts w:hint="eastAsia"/>
        </w:rPr>
      </w:pPr>
      <w:r>
        <w:rPr>
          <w:rFonts w:hint="eastAsia"/>
        </w:rPr>
        <w:t>熔接头产品应按7.4～7.5的规定进行型式试验、抽样试验，应按7.6的规定进行竣工交接试验。</w:t>
      </w:r>
    </w:p>
    <w:p w14:paraId="7229CA43">
      <w:pPr>
        <w:pStyle w:val="162"/>
        <w:rPr>
          <w:rFonts w:hint="eastAsia"/>
        </w:rPr>
      </w:pPr>
      <w:r>
        <w:rPr>
          <w:rFonts w:hint="eastAsia"/>
        </w:rPr>
        <w:t>产品的所有部件和材料应由制造厂的技术检查部门检查合格后方能出厂，并应附有相应的质量检验合格证。用户要求时，制造厂商应提供产品的工厂试验报告或（和）型式试验报告。</w:t>
      </w:r>
    </w:p>
    <w:p w14:paraId="04A028E8">
      <w:pPr>
        <w:pStyle w:val="104"/>
        <w:spacing w:before="240" w:after="240"/>
        <w:rPr>
          <w:szCs w:val="21"/>
        </w:rPr>
      </w:pPr>
      <w:bookmarkStart w:id="94" w:name="_Toc181625052"/>
      <w:bookmarkStart w:id="95" w:name="_Toc181625024"/>
      <w:r>
        <w:rPr>
          <w:rFonts w:hint="eastAsia"/>
        </w:rPr>
        <w:t>包装、运输及贮存</w:t>
      </w:r>
      <w:bookmarkEnd w:id="94"/>
      <w:bookmarkEnd w:id="95"/>
    </w:p>
    <w:p w14:paraId="0F4DF87E">
      <w:pPr>
        <w:pStyle w:val="162"/>
        <w:rPr>
          <w:rFonts w:hint="eastAsia"/>
        </w:rPr>
      </w:pPr>
      <w:r>
        <w:rPr>
          <w:rFonts w:hint="eastAsia"/>
        </w:rPr>
        <w:t>产品的包装方式可根据产品特点而定，对各种材料应有相应防水、防潮等密封措施；对易碎、怕压部件或材料应有相应的防压、防冲击的包装措施，并在包装物外部明显位置标出相应的字样或标记；易燃部件或材料应有防火标志。</w:t>
      </w:r>
    </w:p>
    <w:p w14:paraId="3D42B3B2">
      <w:pPr>
        <w:pStyle w:val="162"/>
        <w:rPr>
          <w:rFonts w:hint="eastAsia"/>
        </w:rPr>
      </w:pPr>
      <w:r>
        <w:rPr>
          <w:rFonts w:hint="eastAsia"/>
        </w:rPr>
        <w:t>包装箱宜采用纸箱，纸箱应符合GB/T 6543《运输包装用单瓦楞纸箱和双瓦楞纸箱》的要求。装箱时，在箱内应装入装箱清单，零部件可分开包装。外包装箱表面须标明：</w:t>
      </w:r>
    </w:p>
    <w:p w14:paraId="42F476CD">
      <w:pPr>
        <w:pStyle w:val="230"/>
        <w:rPr>
          <w:rFonts w:hint="eastAsia"/>
        </w:rPr>
      </w:pPr>
      <w:r>
        <w:rPr>
          <w:rFonts w:hint="eastAsia"/>
        </w:rPr>
        <w:t>a）制造厂名称；</w:t>
      </w:r>
    </w:p>
    <w:p w14:paraId="377E66B9">
      <w:pPr>
        <w:pStyle w:val="230"/>
        <w:rPr>
          <w:rFonts w:hint="eastAsia"/>
        </w:rPr>
      </w:pPr>
      <w:r>
        <w:rPr>
          <w:rFonts w:hint="eastAsia"/>
        </w:rPr>
        <w:t>b）产品名称、型号；</w:t>
      </w:r>
    </w:p>
    <w:p w14:paraId="07378F4B">
      <w:pPr>
        <w:pStyle w:val="230"/>
        <w:rPr>
          <w:rFonts w:hint="eastAsia"/>
        </w:rPr>
      </w:pPr>
      <w:r>
        <w:rPr>
          <w:rFonts w:hint="eastAsia"/>
        </w:rPr>
        <w:t>c）额定电压，</w:t>
      </w:r>
      <w:r>
        <w:rPr>
          <w:rFonts w:ascii="Times New Roman" w:hAnsi="Times New Roman" w:cs="Times New Roman"/>
        </w:rPr>
        <w:t>kV</w:t>
      </w:r>
      <w:r>
        <w:rPr>
          <w:rFonts w:hint="eastAsia"/>
        </w:rPr>
        <w:t>；</w:t>
      </w:r>
    </w:p>
    <w:p w14:paraId="7980D9AE">
      <w:pPr>
        <w:pStyle w:val="230"/>
        <w:rPr>
          <w:rFonts w:hint="eastAsia"/>
        </w:rPr>
      </w:pPr>
      <w:r>
        <w:rPr>
          <w:rFonts w:hint="eastAsia"/>
        </w:rPr>
        <w:t>d）适用电缆截面积，</w:t>
      </w:r>
      <w:r>
        <w:rPr>
          <w:rFonts w:ascii="Times New Roman" w:hAnsi="Times New Roman" w:cs="Times New Roman"/>
        </w:rPr>
        <w:t>mm</w:t>
      </w:r>
      <w:r>
        <w:rPr>
          <w:rFonts w:ascii="Calibri" w:hAnsi="Calibri" w:eastAsia="黑体" w:cs="Calibri"/>
        </w:rPr>
        <w:t>²</w:t>
      </w:r>
      <w:r>
        <w:rPr>
          <w:rFonts w:hint="eastAsia"/>
        </w:rPr>
        <w:t>；</w:t>
      </w:r>
    </w:p>
    <w:p w14:paraId="5F2BD335">
      <w:pPr>
        <w:pStyle w:val="230"/>
        <w:rPr>
          <w:rFonts w:hint="eastAsia"/>
        </w:rPr>
      </w:pPr>
      <w:r>
        <w:rPr>
          <w:rFonts w:hint="eastAsia"/>
        </w:rPr>
        <w:t>e）包装箱外形尺寸；</w:t>
      </w:r>
    </w:p>
    <w:p w14:paraId="2F5280C8">
      <w:pPr>
        <w:pStyle w:val="230"/>
        <w:rPr>
          <w:rFonts w:hint="eastAsia"/>
        </w:rPr>
      </w:pPr>
      <w:r>
        <w:rPr>
          <w:rFonts w:hint="eastAsia"/>
        </w:rPr>
        <w:t>f）生产日期；</w:t>
      </w:r>
    </w:p>
    <w:p w14:paraId="0B233B0C">
      <w:pPr>
        <w:pStyle w:val="230"/>
        <w:rPr>
          <w:rFonts w:hint="eastAsia"/>
        </w:rPr>
      </w:pPr>
      <w:r>
        <w:rPr>
          <w:rFonts w:hint="eastAsia"/>
        </w:rPr>
        <w:t>g）“小心轻放”、“怕湿”、“防震”等标志。</w:t>
      </w:r>
    </w:p>
    <w:p w14:paraId="619CEC49">
      <w:pPr>
        <w:pStyle w:val="105"/>
        <w:spacing w:before="120" w:after="120"/>
        <w:rPr>
          <w:rFonts w:hint="eastAsia"/>
        </w:rPr>
      </w:pPr>
      <w:bookmarkStart w:id="96" w:name="_Toc181625025"/>
      <w:bookmarkStart w:id="97" w:name="_Toc181625053"/>
      <w:r>
        <w:rPr>
          <w:rFonts w:hint="eastAsia"/>
        </w:rPr>
        <w:t>运输和贮存</w:t>
      </w:r>
      <w:bookmarkEnd w:id="96"/>
      <w:bookmarkEnd w:id="97"/>
    </w:p>
    <w:p w14:paraId="5C219DCF">
      <w:pPr>
        <w:pStyle w:val="165"/>
        <w:rPr>
          <w:rFonts w:hint="eastAsia"/>
        </w:rPr>
      </w:pPr>
      <w:r>
        <w:rPr>
          <w:rFonts w:hint="eastAsia"/>
        </w:rPr>
        <w:t>产品运输过程中不得将包装箱倒置及碰撞。</w:t>
      </w:r>
    </w:p>
    <w:p w14:paraId="10B0009E">
      <w:pPr>
        <w:pStyle w:val="165"/>
        <w:rPr>
          <w:rFonts w:hint="eastAsia"/>
        </w:rPr>
      </w:pPr>
      <w:r>
        <w:rPr>
          <w:rFonts w:hint="eastAsia"/>
        </w:rPr>
        <w:t>产品应贮存在清洁干燥和阴凉处，不得在户外或阳光下存放。</w:t>
      </w:r>
    </w:p>
    <w:p w14:paraId="4B146EE3">
      <w:pPr>
        <w:pStyle w:val="165"/>
        <w:rPr>
          <w:rFonts w:hint="eastAsia"/>
        </w:rPr>
      </w:pPr>
      <w:r>
        <w:rPr>
          <w:rFonts w:hint="eastAsia"/>
        </w:rPr>
        <w:t>贮存期应不超过相应配套材料和配套件的贮存日期。</w:t>
      </w:r>
    </w:p>
    <w:p w14:paraId="28D5C5CC">
      <w:pPr>
        <w:pStyle w:val="57"/>
        <w:ind w:firstLine="420"/>
      </w:pPr>
    </w:p>
    <w:p w14:paraId="5589552C">
      <w:pPr>
        <w:pStyle w:val="57"/>
        <w:ind w:firstLine="420"/>
        <w:sectPr>
          <w:pgSz w:w="11906" w:h="16838"/>
          <w:pgMar w:top="1928" w:right="1134" w:bottom="1134" w:left="1134" w:header="1418" w:footer="1134" w:gutter="284"/>
          <w:pgNumType w:start="1"/>
          <w:cols w:space="425" w:num="1"/>
          <w:formProt w:val="0"/>
          <w:docGrid w:linePitch="312" w:charSpace="0"/>
        </w:sectPr>
      </w:pPr>
    </w:p>
    <w:bookmarkEnd w:id="8"/>
    <w:p w14:paraId="02306CE6">
      <w:pPr>
        <w:pStyle w:val="198"/>
        <w:rPr>
          <w:vanish w:val="0"/>
        </w:rPr>
      </w:pPr>
      <w:bookmarkStart w:id="98" w:name="BookMark5"/>
    </w:p>
    <w:p w14:paraId="1EE63703">
      <w:pPr>
        <w:pStyle w:val="199"/>
        <w:rPr>
          <w:vanish w:val="0"/>
        </w:rPr>
      </w:pPr>
    </w:p>
    <w:p w14:paraId="55B44883">
      <w:pPr>
        <w:pStyle w:val="77"/>
        <w:spacing w:after="120"/>
        <w:rPr>
          <w:rFonts w:hint="eastAsia"/>
        </w:rPr>
      </w:pPr>
      <w:r>
        <w:br w:type="textWrapping"/>
      </w:r>
      <w:bookmarkStart w:id="99" w:name="_Toc181625026"/>
      <w:bookmarkStart w:id="100" w:name="_Toc181625054"/>
      <w:r>
        <w:rPr>
          <w:rFonts w:hint="eastAsia"/>
        </w:rPr>
        <w:t>（规范性）</w:t>
      </w:r>
      <w:r>
        <w:br w:type="textWrapping"/>
      </w:r>
      <w:r>
        <w:rPr>
          <w:rFonts w:hint="eastAsia"/>
          <w:lang w:val="en-US" w:eastAsia="zh-CN"/>
        </w:rPr>
        <w:t>熔</w:t>
      </w:r>
      <w:r>
        <w:rPr>
          <w:rFonts w:hint="eastAsia"/>
        </w:rPr>
        <w:t>接头结构示意图</w:t>
      </w:r>
      <w:bookmarkEnd w:id="99"/>
      <w:bookmarkEnd w:id="100"/>
    </w:p>
    <w:p w14:paraId="73257CEA">
      <w:pPr>
        <w:pStyle w:val="57"/>
        <w:ind w:firstLine="840" w:firstLineChars="400"/>
        <w:rPr>
          <w:rFonts w:hint="eastAsia"/>
        </w:rPr>
      </w:pPr>
      <w:r>
        <w:rPr>
          <w:rFonts w:hint="eastAsia"/>
          <w:lang w:val="en-US" w:eastAsia="zh-CN"/>
        </w:rPr>
        <w:t>熔</w:t>
      </w:r>
      <w:r>
        <w:rPr>
          <w:rFonts w:hint="eastAsia"/>
        </w:rPr>
        <w:t>接头结构示意如图A.1所示。</w:t>
      </w:r>
    </w:p>
    <w:p w14:paraId="0B60B050">
      <w:pPr>
        <w:pStyle w:val="77"/>
        <w:numPr>
          <w:ilvl w:val="0"/>
          <w:numId w:val="0"/>
        </w:numPr>
        <w:spacing w:after="120"/>
        <w:rPr>
          <w:kern w:val="2"/>
          <w:szCs w:val="21"/>
        </w:rPr>
      </w:pPr>
      <w:bookmarkStart w:id="101" w:name="_Toc181625055"/>
      <w:bookmarkStart w:id="102" w:name="_Toc181625027"/>
      <w:r>
        <w:rPr>
          <w:rFonts w:hint="eastAsia"/>
        </w:rPr>
        <w:drawing>
          <wp:inline distT="0" distB="0" distL="0" distR="0">
            <wp:extent cx="2789555" cy="2127250"/>
            <wp:effectExtent l="0" t="0" r="0" b="6350"/>
            <wp:docPr id="108262839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628390" name="图片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790000" cy="2127600"/>
                    </a:xfrm>
                    <a:prstGeom prst="rect">
                      <a:avLst/>
                    </a:prstGeom>
                    <a:noFill/>
                    <a:ln>
                      <a:noFill/>
                    </a:ln>
                  </pic:spPr>
                </pic:pic>
              </a:graphicData>
            </a:graphic>
          </wp:inline>
        </w:drawing>
      </w:r>
      <w:bookmarkEnd w:id="101"/>
      <w:bookmarkEnd w:id="102"/>
    </w:p>
    <w:p w14:paraId="51F15AA8">
      <w:pPr>
        <w:pStyle w:val="57"/>
        <w:ind w:firstLine="420"/>
      </w:pPr>
      <w:r>
        <w:rPr>
          <w:rFonts w:hint="eastAsia"/>
        </w:rPr>
        <w:t>1、PVC带；           19、电缆非金属绝缘屏蔽层；</w:t>
      </w:r>
    </w:p>
    <w:p w14:paraId="332FBC9E">
      <w:pPr>
        <w:pStyle w:val="57"/>
        <w:ind w:firstLine="420"/>
        <w:rPr>
          <w:rFonts w:hint="eastAsia"/>
        </w:rPr>
      </w:pPr>
      <w:r>
        <w:rPr>
          <w:rFonts w:hint="eastAsia"/>
        </w:rPr>
        <w:t>2、铠装带；          20、铜屏蔽；</w:t>
      </w:r>
    </w:p>
    <w:p w14:paraId="4963CE38">
      <w:pPr>
        <w:pStyle w:val="57"/>
        <w:ind w:firstLine="420"/>
        <w:rPr>
          <w:rFonts w:hint="eastAsia"/>
        </w:rPr>
      </w:pPr>
      <w:r>
        <w:rPr>
          <w:rFonts w:hint="eastAsia"/>
        </w:rPr>
        <w:t>3、防水带；          21、内护套；</w:t>
      </w:r>
    </w:p>
    <w:p w14:paraId="14EB0580">
      <w:pPr>
        <w:pStyle w:val="57"/>
        <w:ind w:firstLine="420"/>
        <w:rPr>
          <w:rFonts w:hint="eastAsia"/>
        </w:rPr>
      </w:pPr>
      <w:r>
        <w:rPr>
          <w:rFonts w:hint="eastAsia"/>
        </w:rPr>
        <w:t>4、热缩管；          22、钢铠；</w:t>
      </w:r>
    </w:p>
    <w:p w14:paraId="173EBA19">
      <w:pPr>
        <w:pStyle w:val="57"/>
        <w:ind w:firstLine="420"/>
        <w:rPr>
          <w:rFonts w:hint="eastAsia"/>
        </w:rPr>
      </w:pPr>
      <w:r>
        <w:rPr>
          <w:rFonts w:hint="eastAsia"/>
        </w:rPr>
        <w:t>5、防水带；          23、外护套。</w:t>
      </w:r>
    </w:p>
    <w:p w14:paraId="5C760634">
      <w:pPr>
        <w:pStyle w:val="57"/>
        <w:ind w:firstLine="420"/>
        <w:rPr>
          <w:rFonts w:hint="eastAsia"/>
        </w:rPr>
      </w:pPr>
      <w:r>
        <w:rPr>
          <w:rFonts w:hint="eastAsia"/>
        </w:rPr>
        <w:t>6、地线；</w:t>
      </w:r>
    </w:p>
    <w:p w14:paraId="36D8F0C7">
      <w:pPr>
        <w:pStyle w:val="57"/>
        <w:ind w:firstLine="420"/>
        <w:rPr>
          <w:rFonts w:hint="eastAsia"/>
        </w:rPr>
      </w:pPr>
      <w:r>
        <w:rPr>
          <w:rFonts w:hint="eastAsia"/>
        </w:rPr>
        <w:t>7、绝缘带；</w:t>
      </w:r>
    </w:p>
    <w:p w14:paraId="3B99CDBF">
      <w:pPr>
        <w:pStyle w:val="57"/>
        <w:ind w:firstLine="420"/>
        <w:rPr>
          <w:rFonts w:hint="eastAsia"/>
        </w:rPr>
      </w:pPr>
      <w:r>
        <w:rPr>
          <w:rFonts w:hint="eastAsia"/>
        </w:rPr>
        <w:t>8、电缆填充物；</w:t>
      </w:r>
    </w:p>
    <w:p w14:paraId="1676EEDB">
      <w:pPr>
        <w:pStyle w:val="57"/>
        <w:ind w:firstLine="420"/>
        <w:rPr>
          <w:rFonts w:hint="eastAsia"/>
        </w:rPr>
      </w:pPr>
      <w:r>
        <w:rPr>
          <w:rFonts w:hint="eastAsia"/>
        </w:rPr>
        <w:t>9、PVC带；</w:t>
      </w:r>
    </w:p>
    <w:p w14:paraId="6BB6128F">
      <w:pPr>
        <w:pStyle w:val="57"/>
        <w:ind w:firstLine="420"/>
        <w:rPr>
          <w:rFonts w:hint="eastAsia"/>
        </w:rPr>
      </w:pPr>
      <w:r>
        <w:rPr>
          <w:rFonts w:hint="eastAsia"/>
        </w:rPr>
        <w:t>10、镀锡铜网；</w:t>
      </w:r>
    </w:p>
    <w:p w14:paraId="42F2F155">
      <w:pPr>
        <w:pStyle w:val="57"/>
        <w:ind w:firstLine="420"/>
        <w:rPr>
          <w:rFonts w:hint="eastAsia"/>
        </w:rPr>
      </w:pPr>
      <w:r>
        <w:rPr>
          <w:rFonts w:hint="eastAsia"/>
        </w:rPr>
        <w:t>11、半导电自粘带；</w:t>
      </w:r>
    </w:p>
    <w:p w14:paraId="7D212D9B">
      <w:pPr>
        <w:pStyle w:val="57"/>
        <w:ind w:firstLine="420"/>
        <w:rPr>
          <w:rFonts w:hint="eastAsia"/>
        </w:rPr>
      </w:pPr>
      <w:r>
        <w:rPr>
          <w:rFonts w:hint="eastAsia"/>
        </w:rPr>
        <w:t>12、半导电涂漆；</w:t>
      </w:r>
    </w:p>
    <w:p w14:paraId="7CDF8A71">
      <w:pPr>
        <w:pStyle w:val="57"/>
        <w:ind w:firstLine="420"/>
        <w:rPr>
          <w:rFonts w:hint="eastAsia"/>
        </w:rPr>
      </w:pPr>
      <w:r>
        <w:rPr>
          <w:rFonts w:hint="eastAsia"/>
        </w:rPr>
        <w:t>13、接头绝缘层；</w:t>
      </w:r>
    </w:p>
    <w:p w14:paraId="26CF0A10">
      <w:pPr>
        <w:pStyle w:val="57"/>
        <w:ind w:firstLine="420"/>
        <w:rPr>
          <w:rFonts w:hint="eastAsia"/>
        </w:rPr>
      </w:pPr>
      <w:r>
        <w:rPr>
          <w:rFonts w:hint="eastAsia"/>
        </w:rPr>
        <w:t>14、导体焊接点；</w:t>
      </w:r>
    </w:p>
    <w:p w14:paraId="6FC1C8C6">
      <w:pPr>
        <w:pStyle w:val="57"/>
        <w:ind w:firstLine="420"/>
        <w:rPr>
          <w:rFonts w:hint="eastAsia"/>
        </w:rPr>
      </w:pPr>
      <w:r>
        <w:rPr>
          <w:rFonts w:hint="eastAsia"/>
        </w:rPr>
        <w:t>15、接头内半导电层；</w:t>
      </w:r>
    </w:p>
    <w:p w14:paraId="78404046">
      <w:pPr>
        <w:pStyle w:val="57"/>
        <w:ind w:firstLine="420"/>
        <w:rPr>
          <w:rFonts w:hint="eastAsia"/>
        </w:rPr>
      </w:pPr>
      <w:r>
        <w:rPr>
          <w:rFonts w:hint="eastAsia"/>
        </w:rPr>
        <w:t>16、电缆导体；</w:t>
      </w:r>
    </w:p>
    <w:p w14:paraId="53EEB072">
      <w:pPr>
        <w:pStyle w:val="57"/>
        <w:ind w:firstLine="420"/>
        <w:rPr>
          <w:rFonts w:hint="eastAsia"/>
        </w:rPr>
      </w:pPr>
      <w:r>
        <w:rPr>
          <w:rFonts w:hint="eastAsia"/>
        </w:rPr>
        <w:t>17、电缆导体屏蔽；</w:t>
      </w:r>
    </w:p>
    <w:p w14:paraId="06F3D85D">
      <w:pPr>
        <w:pStyle w:val="57"/>
        <w:ind w:firstLine="420"/>
        <w:rPr>
          <w:rFonts w:hint="eastAsia"/>
        </w:rPr>
      </w:pPr>
      <w:r>
        <w:rPr>
          <w:rFonts w:hint="eastAsia"/>
        </w:rPr>
        <w:t>18、电缆绝缘层。</w:t>
      </w:r>
    </w:p>
    <w:p w14:paraId="6CF16093">
      <w:pPr>
        <w:pStyle w:val="57"/>
        <w:ind w:firstLine="420"/>
        <w:rPr>
          <w:rFonts w:hint="eastAsia"/>
        </w:rPr>
      </w:pPr>
    </w:p>
    <w:p w14:paraId="670DDB90">
      <w:pPr>
        <w:pStyle w:val="84"/>
        <w:spacing w:before="120" w:after="120"/>
      </w:pPr>
    </w:p>
    <w:p w14:paraId="355F9DC4">
      <w:pPr>
        <w:pStyle w:val="57"/>
        <w:ind w:firstLine="420"/>
      </w:pPr>
    </w:p>
    <w:bookmarkEnd w:id="98"/>
    <w:p w14:paraId="6399E691">
      <w:pPr>
        <w:pStyle w:val="57"/>
        <w:ind w:firstLine="0" w:firstLineChars="0"/>
        <w:jc w:val="center"/>
      </w:pPr>
      <w:bookmarkStart w:id="103" w:name="BookMark8"/>
      <w:r>
        <w:drawing>
          <wp:inline distT="0" distB="0" distL="0" distR="0">
            <wp:extent cx="1485900" cy="317500"/>
            <wp:effectExtent l="0" t="0" r="0" b="6350"/>
            <wp:docPr id="1747646836" name="图片 4"/>
            <wp:cNvGraphicFramePr/>
            <a:graphic xmlns:a="http://schemas.openxmlformats.org/drawingml/2006/main">
              <a:graphicData uri="http://schemas.openxmlformats.org/drawingml/2006/picture">
                <pic:pic xmlns:pic="http://schemas.openxmlformats.org/drawingml/2006/picture">
                  <pic:nvPicPr>
                    <pic:cNvPr id="1747646836" name="图片 4"/>
                    <pic:cNvPicPr/>
                  </pic:nvPicPr>
                  <pic:blipFill>
                    <a:blip r:embed="rId17">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103"/>
    </w:p>
    <w:sectPr>
      <w:pgSz w:w="11906" w:h="16838"/>
      <w:pgMar w:top="1928" w:right="1134" w:bottom="1134" w:left="1134" w:header="1418" w:footer="1134" w:gutter="284"/>
      <w:cols w:space="425" w:num="1"/>
      <w:formProt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07DDB">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A73B3">
    <w:pPr>
      <w:pStyle w:val="17"/>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B276A">
    <w:pPr>
      <w:pStyle w:val="17"/>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68EF7">
    <w:pPr>
      <w:pStyle w:val="53"/>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FC86DA">
    <w:pPr>
      <w:pStyle w:val="18"/>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30C35">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A79A1">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43DA8">
    <w:pPr>
      <w:pStyle w:val="62"/>
      <w:rPr>
        <w:rFonts w:hint="eastAsia"/>
      </w:rPr>
    </w:pPr>
    <w:r>
      <w:fldChar w:fldCharType="begin"/>
    </w:r>
    <w:r>
      <w:instrText xml:space="preserve"> STYLEREF  标准文件_文件编号  \* MERGEFORMAT </w:instrText>
    </w:r>
    <w:r>
      <w:fldChar w:fldCharType="separate"/>
    </w:r>
    <w:r>
      <w:t>T/GSEE 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C62F9">
    <w:pPr>
      <w:pStyle w:val="18"/>
      <w:jc w:val="right"/>
    </w:pPr>
    <w:r>
      <w:fldChar w:fldCharType="begin"/>
    </w:r>
    <w:r>
      <w:instrText xml:space="preserve"> STYLEREF  标准文件_文件编号  \* MERGEFORMAT </w:instrText>
    </w:r>
    <w:r>
      <w:fldChar w:fldCharType="separate"/>
    </w:r>
    <w:r>
      <w:t>T/GSEE 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5"/>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8"/>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6"/>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4"/>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8"/>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7"/>
      <w:suff w:val="nothing"/>
      <w:lvlText w:val="附录%1"/>
      <w:lvlJc w:val="left"/>
      <w:pPr>
        <w:ind w:left="0" w:firstLine="0"/>
      </w:pPr>
      <w:rPr>
        <w:rFonts w:hint="eastAsia"/>
        <w:spacing w:val="100"/>
      </w:rPr>
    </w:lvl>
    <w:lvl w:ilvl="1" w:tentative="0">
      <w:start w:val="1"/>
      <w:numFmt w:val="decimal"/>
      <w:pStyle w:val="79"/>
      <w:suff w:val="nothing"/>
      <w:lvlText w:val="%1.%2　"/>
      <w:lvlJc w:val="left"/>
      <w:pPr>
        <w:ind w:left="0" w:firstLine="0"/>
      </w:pPr>
      <w:rPr>
        <w:rFonts w:hint="eastAsia" w:ascii="黑体" w:eastAsia="黑体"/>
        <w:b w:val="0"/>
        <w:i w:val="0"/>
        <w:sz w:val="21"/>
      </w:rPr>
    </w:lvl>
    <w:lvl w:ilvl="2" w:tentative="0">
      <w:start w:val="1"/>
      <w:numFmt w:val="decimal"/>
      <w:pStyle w:val="80"/>
      <w:suff w:val="nothing"/>
      <w:lvlText w:val="%1.%2.%3　"/>
      <w:lvlJc w:val="left"/>
      <w:pPr>
        <w:ind w:left="0" w:firstLine="0"/>
      </w:pPr>
      <w:rPr>
        <w:rFonts w:hint="eastAsia" w:ascii="黑体" w:eastAsia="黑体"/>
        <w:b w:val="0"/>
        <w:i w:val="0"/>
        <w:sz w:val="21"/>
      </w:rPr>
    </w:lvl>
    <w:lvl w:ilvl="3" w:tentative="0">
      <w:start w:val="1"/>
      <w:numFmt w:val="decimal"/>
      <w:pStyle w:val="82"/>
      <w:suff w:val="nothing"/>
      <w:lvlText w:val="%1.%2.%3.%4　"/>
      <w:lvlJc w:val="left"/>
      <w:pPr>
        <w:ind w:left="0" w:firstLine="0"/>
      </w:pPr>
      <w:rPr>
        <w:rFonts w:hint="eastAsia" w:ascii="黑体" w:eastAsia="黑体"/>
        <w:b w:val="0"/>
        <w:i w:val="0"/>
        <w:sz w:val="21"/>
      </w:rPr>
    </w:lvl>
    <w:lvl w:ilvl="4" w:tentative="0">
      <w:start w:val="1"/>
      <w:numFmt w:val="decimal"/>
      <w:pStyle w:val="83"/>
      <w:suff w:val="nothing"/>
      <w:lvlText w:val="%1.%2.%3.%4.%5　"/>
      <w:lvlJc w:val="left"/>
      <w:pPr>
        <w:ind w:left="0" w:firstLine="0"/>
      </w:pPr>
      <w:rPr>
        <w:rFonts w:hint="eastAsia" w:ascii="黑体" w:eastAsia="黑体"/>
        <w:b w:val="0"/>
        <w:i w:val="0"/>
        <w:sz w:val="21"/>
      </w:rPr>
    </w:lvl>
    <w:lvl w:ilvl="5" w:tentative="0">
      <w:start w:val="1"/>
      <w:numFmt w:val="decimal"/>
      <w:pStyle w:val="85"/>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pStyle w:val="66"/>
      <w:suff w:val="nothing"/>
      <w:lvlText w:val="%1%2.%3.%4　"/>
      <w:lvlJc w:val="left"/>
      <w:pPr>
        <w:ind w:left="0" w:firstLine="0"/>
      </w:pPr>
      <w:rPr>
        <w:rFonts w:hint="eastAsia" w:ascii="黑体" w:eastAsia="黑体"/>
        <w:b w:val="0"/>
        <w:i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dit="forms"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009673D6"/>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1B8"/>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25926"/>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670B8"/>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848"/>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2131"/>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52D32"/>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60F1E"/>
    <w:rsid w:val="009610DC"/>
    <w:rsid w:val="00961490"/>
    <w:rsid w:val="0096381A"/>
    <w:rsid w:val="00965E04"/>
    <w:rsid w:val="009673D6"/>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413"/>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16CF"/>
    <w:rsid w:val="00B52120"/>
    <w:rsid w:val="00B54ABC"/>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11F5"/>
    <w:rsid w:val="00C62FD3"/>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1F78"/>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26C6"/>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3261"/>
    <w:rsid w:val="00D1489E"/>
    <w:rsid w:val="00D20737"/>
    <w:rsid w:val="00D21E81"/>
    <w:rsid w:val="00D223DE"/>
    <w:rsid w:val="00D25E37"/>
    <w:rsid w:val="00D2661A"/>
    <w:rsid w:val="00D27582"/>
    <w:rsid w:val="00D27EC4"/>
    <w:rsid w:val="00D32719"/>
    <w:rsid w:val="00D33333"/>
    <w:rsid w:val="00D352A2"/>
    <w:rsid w:val="00D4162B"/>
    <w:rsid w:val="00D43149"/>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2AC5"/>
    <w:rsid w:val="00E831C1"/>
    <w:rsid w:val="00E846C8"/>
    <w:rsid w:val="00E84957"/>
    <w:rsid w:val="00E84A55"/>
    <w:rsid w:val="00E85BFF"/>
    <w:rsid w:val="00E90391"/>
    <w:rsid w:val="00E906C2"/>
    <w:rsid w:val="00E92934"/>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E0350"/>
    <w:rsid w:val="00EE0719"/>
    <w:rsid w:val="00EE0E80"/>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74D4F"/>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2FA0CAB"/>
    <w:rsid w:val="03525F75"/>
    <w:rsid w:val="05903516"/>
    <w:rsid w:val="1F4550E0"/>
    <w:rsid w:val="200C7531"/>
    <w:rsid w:val="2B3172BF"/>
    <w:rsid w:val="41BE3399"/>
    <w:rsid w:val="42E71761"/>
    <w:rsid w:val="466F3591"/>
    <w:rsid w:val="48F94220"/>
    <w:rsid w:val="5BF13CB5"/>
    <w:rsid w:val="68A13DAA"/>
    <w:rsid w:val="7D7F0E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5"/>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6"/>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7"/>
    <w:qFormat/>
    <w:uiPriority w:val="0"/>
    <w:pPr>
      <w:keepNext/>
      <w:keepLines/>
      <w:spacing w:before="260" w:after="260" w:line="416" w:lineRule="auto"/>
      <w:outlineLvl w:val="2"/>
    </w:pPr>
    <w:rPr>
      <w:b/>
      <w:bCs/>
      <w:sz w:val="32"/>
      <w:szCs w:val="32"/>
    </w:rPr>
  </w:style>
  <w:style w:type="paragraph" w:styleId="5">
    <w:name w:val="heading 4"/>
    <w:basedOn w:val="1"/>
    <w:next w:val="1"/>
    <w:link w:val="38"/>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9"/>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0"/>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1"/>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2"/>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3"/>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34"/>
    <w:qFormat/>
    <w:uiPriority w:val="0"/>
    <w:pPr>
      <w:spacing w:after="120"/>
    </w:pPr>
  </w:style>
  <w:style w:type="paragraph" w:styleId="14">
    <w:name w:val="toc 5"/>
    <w:basedOn w:val="1"/>
    <w:next w:val="1"/>
    <w:autoRedefine/>
    <w:unhideWhenUsed/>
    <w:qFormat/>
    <w:uiPriority w:val="39"/>
    <w:pPr>
      <w:ind w:left="839"/>
    </w:pPr>
    <w:rPr>
      <w:rFonts w:ascii="宋体"/>
    </w:rPr>
  </w:style>
  <w:style w:type="paragraph" w:styleId="15">
    <w:name w:val="toc 3"/>
    <w:basedOn w:val="1"/>
    <w:next w:val="1"/>
    <w:autoRedefine/>
    <w:unhideWhenUsed/>
    <w:qFormat/>
    <w:uiPriority w:val="39"/>
    <w:pPr>
      <w:spacing w:line="300" w:lineRule="exact"/>
      <w:ind w:left="420"/>
    </w:pPr>
    <w:rPr>
      <w:rFonts w:ascii="宋体"/>
    </w:rPr>
  </w:style>
  <w:style w:type="paragraph" w:styleId="16">
    <w:name w:val="Balloon Text"/>
    <w:basedOn w:val="1"/>
    <w:link w:val="46"/>
    <w:semiHidden/>
    <w:unhideWhenUsed/>
    <w:qFormat/>
    <w:uiPriority w:val="99"/>
    <w:rPr>
      <w:sz w:val="18"/>
      <w:szCs w:val="18"/>
    </w:rPr>
  </w:style>
  <w:style w:type="paragraph" w:styleId="17">
    <w:name w:val="footer"/>
    <w:basedOn w:val="1"/>
    <w:link w:val="45"/>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4"/>
    <w:qFormat/>
    <w:uiPriority w:val="99"/>
    <w:pPr>
      <w:tabs>
        <w:tab w:val="center" w:pos="4153"/>
        <w:tab w:val="right" w:pos="8306"/>
      </w:tabs>
      <w:adjustRightInd/>
      <w:snapToGrid w:val="0"/>
      <w:jc w:val="center"/>
    </w:pPr>
    <w:rPr>
      <w:sz w:val="18"/>
      <w:szCs w:val="18"/>
    </w:rPr>
  </w:style>
  <w:style w:type="paragraph" w:styleId="19">
    <w:name w:val="toc 1"/>
    <w:basedOn w:val="1"/>
    <w:next w:val="1"/>
    <w:autoRedefine/>
    <w:unhideWhenUsed/>
    <w:qFormat/>
    <w:uiPriority w:val="39"/>
    <w:rPr>
      <w:rFonts w:ascii="宋体"/>
    </w:rPr>
  </w:style>
  <w:style w:type="paragraph" w:styleId="20">
    <w:name w:val="toc 4"/>
    <w:basedOn w:val="1"/>
    <w:next w:val="1"/>
    <w:autoRedefine/>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autoRedefine/>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autoRedefine/>
    <w:unhideWhenUsed/>
    <w:qFormat/>
    <w:uiPriority w:val="39"/>
    <w:pPr>
      <w:tabs>
        <w:tab w:val="right" w:leader="dot" w:pos="9344"/>
      </w:tabs>
      <w:spacing w:line="300" w:lineRule="exact"/>
      <w:ind w:left="210"/>
    </w:pPr>
    <w:rPr>
      <w:rFonts w:ascii="宋体"/>
    </w:rPr>
  </w:style>
  <w:style w:type="paragraph" w:styleId="25">
    <w:name w:val="Title"/>
    <w:basedOn w:val="1"/>
    <w:link w:val="49"/>
    <w:qFormat/>
    <w:uiPriority w:val="0"/>
    <w:pPr>
      <w:spacing w:before="240" w:after="60"/>
      <w:jc w:val="center"/>
      <w:outlineLvl w:val="0"/>
    </w:pPr>
    <w:rPr>
      <w:rFonts w:ascii="Arial" w:hAnsi="Arial" w:cs="Arial"/>
      <w:b/>
      <w:bCs/>
      <w:sz w:val="32"/>
      <w:szCs w:val="32"/>
    </w:rPr>
  </w:style>
  <w:style w:type="table" w:styleId="27">
    <w:name w:val="Table Grid"/>
    <w:basedOn w:val="2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bCs/>
    </w:rPr>
  </w:style>
  <w:style w:type="character" w:styleId="30">
    <w:name w:val="page number"/>
    <w:qFormat/>
    <w:uiPriority w:val="0"/>
    <w:rPr>
      <w:rFonts w:ascii="宋体" w:hAnsi="Times New Roman" w:eastAsia="宋体"/>
      <w:sz w:val="18"/>
    </w:rPr>
  </w:style>
  <w:style w:type="character" w:styleId="31">
    <w:name w:val="Emphasis"/>
    <w:qFormat/>
    <w:uiPriority w:val="20"/>
    <w:rPr>
      <w:i/>
      <w:iCs/>
    </w:rPr>
  </w:style>
  <w:style w:type="character" w:styleId="32">
    <w:name w:val="Hyperlink"/>
    <w:qFormat/>
    <w:uiPriority w:val="99"/>
    <w:rPr>
      <w:rFonts w:ascii="宋体" w:hAnsi="Times New Roman" w:eastAsia="宋体"/>
      <w:color w:val="auto"/>
      <w:spacing w:val="0"/>
      <w:w w:val="100"/>
      <w:position w:val="0"/>
      <w:sz w:val="21"/>
      <w:u w:val="none"/>
      <w:vertAlign w:val="baseline"/>
    </w:rPr>
  </w:style>
  <w:style w:type="character" w:styleId="33">
    <w:name w:val="footnote reference"/>
    <w:semiHidden/>
    <w:qFormat/>
    <w:uiPriority w:val="0"/>
    <w:rPr>
      <w:rFonts w:ascii="宋体" w:hAnsi="宋体" w:eastAsia="宋体" w:cs="Times New Roman"/>
      <w:spacing w:val="0"/>
      <w:sz w:val="18"/>
      <w:vertAlign w:val="superscript"/>
    </w:rPr>
  </w:style>
  <w:style w:type="character" w:customStyle="1" w:styleId="34">
    <w:name w:val="正文文本 字符"/>
    <w:link w:val="13"/>
    <w:qFormat/>
    <w:uiPriority w:val="0"/>
    <w:rPr>
      <w:kern w:val="2"/>
      <w:sz w:val="21"/>
      <w:szCs w:val="21"/>
    </w:rPr>
  </w:style>
  <w:style w:type="character" w:customStyle="1" w:styleId="35">
    <w:name w:val="标题 1 字符"/>
    <w:link w:val="2"/>
    <w:qFormat/>
    <w:uiPriority w:val="0"/>
    <w:rPr>
      <w:b/>
      <w:bCs/>
      <w:kern w:val="44"/>
      <w:sz w:val="44"/>
      <w:szCs w:val="44"/>
    </w:rPr>
  </w:style>
  <w:style w:type="character" w:customStyle="1" w:styleId="36">
    <w:name w:val="标题 2 字符"/>
    <w:link w:val="3"/>
    <w:qFormat/>
    <w:uiPriority w:val="0"/>
    <w:rPr>
      <w:rFonts w:ascii="Arial" w:hAnsi="Arial" w:eastAsia="黑体"/>
      <w:b/>
      <w:bCs/>
      <w:kern w:val="2"/>
      <w:sz w:val="32"/>
      <w:szCs w:val="32"/>
    </w:rPr>
  </w:style>
  <w:style w:type="character" w:customStyle="1" w:styleId="37">
    <w:name w:val="标题 3 字符"/>
    <w:link w:val="4"/>
    <w:qFormat/>
    <w:uiPriority w:val="0"/>
    <w:rPr>
      <w:b/>
      <w:bCs/>
      <w:kern w:val="2"/>
      <w:sz w:val="32"/>
      <w:szCs w:val="32"/>
    </w:rPr>
  </w:style>
  <w:style w:type="character" w:customStyle="1" w:styleId="38">
    <w:name w:val="标题 4 字符"/>
    <w:link w:val="5"/>
    <w:qFormat/>
    <w:uiPriority w:val="0"/>
    <w:rPr>
      <w:rFonts w:ascii="Arial" w:hAnsi="Arial" w:eastAsia="黑体"/>
      <w:b/>
      <w:bCs/>
      <w:kern w:val="2"/>
      <w:sz w:val="28"/>
      <w:szCs w:val="28"/>
    </w:rPr>
  </w:style>
  <w:style w:type="character" w:customStyle="1" w:styleId="39">
    <w:name w:val="标题 5 字符"/>
    <w:link w:val="6"/>
    <w:qFormat/>
    <w:uiPriority w:val="0"/>
    <w:rPr>
      <w:b/>
      <w:bCs/>
      <w:kern w:val="2"/>
      <w:sz w:val="28"/>
      <w:szCs w:val="28"/>
    </w:rPr>
  </w:style>
  <w:style w:type="character" w:customStyle="1" w:styleId="40">
    <w:name w:val="标题 6 字符"/>
    <w:link w:val="7"/>
    <w:qFormat/>
    <w:uiPriority w:val="0"/>
    <w:rPr>
      <w:rFonts w:ascii="Arial" w:hAnsi="Arial" w:eastAsia="黑体"/>
      <w:b/>
      <w:bCs/>
      <w:kern w:val="2"/>
      <w:sz w:val="24"/>
      <w:szCs w:val="24"/>
    </w:rPr>
  </w:style>
  <w:style w:type="character" w:customStyle="1" w:styleId="41">
    <w:name w:val="标题 7 字符"/>
    <w:link w:val="8"/>
    <w:qFormat/>
    <w:uiPriority w:val="0"/>
    <w:rPr>
      <w:b/>
      <w:bCs/>
      <w:kern w:val="2"/>
      <w:sz w:val="24"/>
      <w:szCs w:val="24"/>
    </w:rPr>
  </w:style>
  <w:style w:type="character" w:customStyle="1" w:styleId="42">
    <w:name w:val="标题 8 字符"/>
    <w:link w:val="9"/>
    <w:qFormat/>
    <w:uiPriority w:val="0"/>
    <w:rPr>
      <w:rFonts w:ascii="Arial" w:hAnsi="Arial" w:eastAsia="黑体"/>
      <w:kern w:val="2"/>
      <w:sz w:val="24"/>
      <w:szCs w:val="24"/>
    </w:rPr>
  </w:style>
  <w:style w:type="character" w:customStyle="1" w:styleId="43">
    <w:name w:val="标题 9 字符"/>
    <w:link w:val="10"/>
    <w:qFormat/>
    <w:uiPriority w:val="0"/>
    <w:rPr>
      <w:rFonts w:ascii="Arial" w:hAnsi="Arial" w:eastAsia="黑体"/>
      <w:kern w:val="2"/>
      <w:sz w:val="21"/>
      <w:szCs w:val="21"/>
    </w:rPr>
  </w:style>
  <w:style w:type="character" w:customStyle="1" w:styleId="44">
    <w:name w:val="页眉 字符"/>
    <w:link w:val="18"/>
    <w:qFormat/>
    <w:uiPriority w:val="99"/>
    <w:rPr>
      <w:kern w:val="2"/>
      <w:sz w:val="18"/>
      <w:szCs w:val="18"/>
    </w:rPr>
  </w:style>
  <w:style w:type="character" w:customStyle="1" w:styleId="45">
    <w:name w:val="页脚 字符"/>
    <w:link w:val="17"/>
    <w:qFormat/>
    <w:uiPriority w:val="99"/>
    <w:rPr>
      <w:rFonts w:ascii="宋体"/>
      <w:kern w:val="2"/>
      <w:sz w:val="18"/>
      <w:szCs w:val="18"/>
    </w:rPr>
  </w:style>
  <w:style w:type="character" w:customStyle="1" w:styleId="46">
    <w:name w:val="批注框文本 字符"/>
    <w:link w:val="16"/>
    <w:semiHidden/>
    <w:qFormat/>
    <w:uiPriority w:val="99"/>
    <w:rPr>
      <w:kern w:val="2"/>
      <w:sz w:val="18"/>
      <w:szCs w:val="18"/>
    </w:rPr>
  </w:style>
  <w:style w:type="paragraph" w:styleId="47">
    <w:name w:val="Quote"/>
    <w:basedOn w:val="1"/>
    <w:next w:val="1"/>
    <w:link w:val="48"/>
    <w:qFormat/>
    <w:uiPriority w:val="29"/>
    <w:rPr>
      <w:i/>
      <w:iCs/>
      <w:color w:val="000000"/>
    </w:rPr>
  </w:style>
  <w:style w:type="character" w:customStyle="1" w:styleId="48">
    <w:name w:val="引用 字符"/>
    <w:link w:val="47"/>
    <w:qFormat/>
    <w:uiPriority w:val="29"/>
    <w:rPr>
      <w:i/>
      <w:iCs/>
      <w:color w:val="000000"/>
      <w:kern w:val="2"/>
      <w:sz w:val="21"/>
      <w:szCs w:val="21"/>
    </w:rPr>
  </w:style>
  <w:style w:type="character" w:customStyle="1" w:styleId="49">
    <w:name w:val="标题 字符"/>
    <w:link w:val="25"/>
    <w:qFormat/>
    <w:uiPriority w:val="0"/>
    <w:rPr>
      <w:rFonts w:ascii="Arial" w:hAnsi="Arial" w:cs="Arial"/>
      <w:b/>
      <w:bCs/>
      <w:kern w:val="2"/>
      <w:sz w:val="32"/>
      <w:szCs w:val="32"/>
    </w:rPr>
  </w:style>
  <w:style w:type="paragraph" w:customStyle="1" w:styleId="50">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1">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2">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3">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4">
    <w:name w:val="标准书眉一"/>
    <w:qFormat/>
    <w:uiPriority w:val="0"/>
    <w:pPr>
      <w:jc w:val="both"/>
    </w:pPr>
    <w:rPr>
      <w:rFonts w:ascii="Times New Roman" w:hAnsi="Times New Roman" w:eastAsia="宋体" w:cs="Times New Roman"/>
      <w:lang w:val="en-US" w:eastAsia="zh-CN" w:bidi="ar-SA"/>
    </w:rPr>
  </w:style>
  <w:style w:type="paragraph" w:customStyle="1" w:styleId="55">
    <w:name w:val="标准文件_ICS"/>
    <w:basedOn w:val="1"/>
    <w:qFormat/>
    <w:uiPriority w:val="0"/>
    <w:pPr>
      <w:spacing w:line="0" w:lineRule="atLeast"/>
    </w:pPr>
    <w:rPr>
      <w:rFonts w:ascii="黑体" w:hAnsi="宋体" w:eastAsia="黑体"/>
    </w:rPr>
  </w:style>
  <w:style w:type="paragraph" w:customStyle="1" w:styleId="56">
    <w:name w:val="标准文件_标准正文"/>
    <w:basedOn w:val="1"/>
    <w:next w:val="57"/>
    <w:qFormat/>
    <w:uiPriority w:val="0"/>
    <w:pPr>
      <w:snapToGrid w:val="0"/>
      <w:ind w:firstLine="200" w:firstLineChars="200"/>
    </w:pPr>
    <w:rPr>
      <w:kern w:val="0"/>
    </w:rPr>
  </w:style>
  <w:style w:type="paragraph" w:customStyle="1" w:styleId="57">
    <w:name w:val="标准文件_段"/>
    <w:link w:val="18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8">
    <w:name w:val="标准文件_版本"/>
    <w:basedOn w:val="56"/>
    <w:qFormat/>
    <w:uiPriority w:val="0"/>
    <w:pPr>
      <w:adjustRightInd/>
      <w:snapToGrid/>
      <w:ind w:firstLine="0" w:firstLineChars="0"/>
    </w:pPr>
    <w:rPr>
      <w:rFonts w:ascii="宋体" w:hAnsi="宋体"/>
      <w:kern w:val="2"/>
    </w:rPr>
  </w:style>
  <w:style w:type="paragraph" w:customStyle="1" w:styleId="59">
    <w:name w:val="标准文件_标准部门"/>
    <w:basedOn w:val="1"/>
    <w:qFormat/>
    <w:uiPriority w:val="0"/>
    <w:pPr>
      <w:jc w:val="center"/>
    </w:pPr>
    <w:rPr>
      <w:rFonts w:ascii="黑体" w:eastAsia="黑体"/>
      <w:kern w:val="0"/>
      <w:sz w:val="44"/>
    </w:rPr>
  </w:style>
  <w:style w:type="paragraph" w:customStyle="1" w:styleId="60">
    <w:name w:val="标准文件_标准代替"/>
    <w:basedOn w:val="1"/>
    <w:next w:val="1"/>
    <w:qFormat/>
    <w:uiPriority w:val="0"/>
    <w:pPr>
      <w:spacing w:line="310" w:lineRule="exact"/>
      <w:jc w:val="right"/>
    </w:pPr>
    <w:rPr>
      <w:rFonts w:ascii="宋体" w:hAnsi="宋体"/>
      <w:kern w:val="0"/>
    </w:rPr>
  </w:style>
  <w:style w:type="paragraph" w:customStyle="1" w:styleId="61">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2">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3">
    <w:name w:val="标准文件_页眉偶数页"/>
    <w:basedOn w:val="62"/>
    <w:next w:val="1"/>
    <w:qFormat/>
    <w:uiPriority w:val="0"/>
    <w:pPr>
      <w:jc w:val="left"/>
    </w:pPr>
  </w:style>
  <w:style w:type="paragraph" w:customStyle="1" w:styleId="64">
    <w:name w:val="标准文件_参考文献标题"/>
    <w:basedOn w:val="1"/>
    <w:next w:val="1"/>
    <w:qFormat/>
    <w:uiPriority w:val="0"/>
    <w:pPr>
      <w:widowControl/>
      <w:shd w:val="clear" w:color="FFFFFF" w:fill="FFFFFF"/>
      <w:adjustRightInd/>
      <w:spacing w:before="560" w:after="50" w:afterLines="50" w:line="240" w:lineRule="auto"/>
      <w:jc w:val="center"/>
      <w:outlineLvl w:val="0"/>
    </w:pPr>
    <w:rPr>
      <w:rFonts w:ascii="黑体" w:eastAsia="黑体"/>
      <w:kern w:val="0"/>
    </w:rPr>
  </w:style>
  <w:style w:type="paragraph" w:customStyle="1" w:styleId="65">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6">
    <w:name w:val="标准文件_二级条标题"/>
    <w:next w:val="57"/>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7">
    <w:name w:val="标准文件_发布"/>
    <w:qFormat/>
    <w:uiPriority w:val="0"/>
    <w:rPr>
      <w:rFonts w:ascii="黑体" w:eastAsia="黑体"/>
      <w:spacing w:val="0"/>
      <w:w w:val="100"/>
      <w:position w:val="3"/>
      <w:sz w:val="28"/>
    </w:rPr>
  </w:style>
  <w:style w:type="paragraph" w:customStyle="1" w:styleId="68">
    <w:name w:val="标准文件_方框数字列项"/>
    <w:basedOn w:val="57"/>
    <w:qFormat/>
    <w:uiPriority w:val="0"/>
    <w:pPr>
      <w:numPr>
        <w:ilvl w:val="0"/>
        <w:numId w:val="3"/>
      </w:numPr>
      <w:ind w:firstLine="0" w:firstLineChars="0"/>
    </w:pPr>
  </w:style>
  <w:style w:type="paragraph" w:customStyle="1" w:styleId="69">
    <w:name w:val="标准文件_封面标准编号"/>
    <w:basedOn w:val="1"/>
    <w:next w:val="60"/>
    <w:qFormat/>
    <w:uiPriority w:val="0"/>
    <w:pPr>
      <w:spacing w:line="310" w:lineRule="exact"/>
      <w:jc w:val="right"/>
    </w:pPr>
    <w:rPr>
      <w:rFonts w:ascii="黑体" w:eastAsia="黑体"/>
      <w:kern w:val="0"/>
      <w:sz w:val="28"/>
    </w:rPr>
  </w:style>
  <w:style w:type="paragraph" w:customStyle="1" w:styleId="70">
    <w:name w:val="标准文件_封面标准分类号"/>
    <w:basedOn w:val="1"/>
    <w:qFormat/>
    <w:uiPriority w:val="0"/>
    <w:rPr>
      <w:rFonts w:ascii="黑体" w:eastAsia="黑体"/>
      <w:b/>
      <w:kern w:val="0"/>
      <w:sz w:val="28"/>
    </w:rPr>
  </w:style>
  <w:style w:type="paragraph" w:customStyle="1" w:styleId="71">
    <w:name w:val="标准文件_封面标准名称"/>
    <w:basedOn w:val="1"/>
    <w:qFormat/>
    <w:uiPriority w:val="0"/>
    <w:pPr>
      <w:spacing w:line="240" w:lineRule="auto"/>
      <w:jc w:val="center"/>
    </w:pPr>
    <w:rPr>
      <w:rFonts w:ascii="黑体" w:eastAsia="黑体"/>
      <w:kern w:val="0"/>
      <w:sz w:val="52"/>
    </w:rPr>
  </w:style>
  <w:style w:type="paragraph" w:customStyle="1" w:styleId="72">
    <w:name w:val="标准文件_封面标准英文名称"/>
    <w:basedOn w:val="1"/>
    <w:qFormat/>
    <w:uiPriority w:val="0"/>
    <w:pPr>
      <w:spacing w:line="240" w:lineRule="auto"/>
      <w:jc w:val="center"/>
    </w:pPr>
    <w:rPr>
      <w:rFonts w:ascii="黑体" w:eastAsia="黑体"/>
      <w:b/>
      <w:sz w:val="28"/>
    </w:rPr>
  </w:style>
  <w:style w:type="paragraph" w:customStyle="1" w:styleId="73">
    <w:name w:val="标准文件_封面发布日期"/>
    <w:basedOn w:val="1"/>
    <w:qFormat/>
    <w:uiPriority w:val="0"/>
    <w:pPr>
      <w:spacing w:line="310" w:lineRule="exact"/>
    </w:pPr>
    <w:rPr>
      <w:rFonts w:ascii="黑体" w:eastAsia="黑体"/>
      <w:kern w:val="0"/>
      <w:sz w:val="28"/>
    </w:rPr>
  </w:style>
  <w:style w:type="paragraph" w:customStyle="1" w:styleId="74">
    <w:name w:val="标准文件_封面密级"/>
    <w:basedOn w:val="1"/>
    <w:qFormat/>
    <w:uiPriority w:val="0"/>
    <w:rPr>
      <w:rFonts w:eastAsia="黑体"/>
      <w:sz w:val="32"/>
    </w:rPr>
  </w:style>
  <w:style w:type="paragraph" w:customStyle="1" w:styleId="75">
    <w:name w:val="标准文件_封面实施日期"/>
    <w:basedOn w:val="1"/>
    <w:qFormat/>
    <w:uiPriority w:val="0"/>
    <w:pPr>
      <w:spacing w:line="310" w:lineRule="exact"/>
      <w:jc w:val="right"/>
    </w:pPr>
    <w:rPr>
      <w:rFonts w:ascii="黑体" w:eastAsia="黑体"/>
      <w:sz w:val="28"/>
    </w:rPr>
  </w:style>
  <w:style w:type="paragraph" w:customStyle="1" w:styleId="76">
    <w:name w:val="标准文件_封面抬头"/>
    <w:basedOn w:val="57"/>
    <w:qFormat/>
    <w:uiPriority w:val="0"/>
    <w:pPr>
      <w:adjustRightInd w:val="0"/>
      <w:spacing w:line="800" w:lineRule="exact"/>
      <w:ind w:firstLine="0" w:firstLineChars="0"/>
      <w:jc w:val="distribute"/>
    </w:pPr>
    <w:rPr>
      <w:rFonts w:ascii="黑体" w:eastAsia="黑体"/>
      <w:b/>
      <w:sz w:val="64"/>
    </w:rPr>
  </w:style>
  <w:style w:type="paragraph" w:customStyle="1" w:styleId="77">
    <w:name w:val="标准文件_附录标识"/>
    <w:next w:val="57"/>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8">
    <w:name w:val="标准文件_附录表标题"/>
    <w:next w:val="57"/>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9">
    <w:name w:val="标准文件_附录一级条标题"/>
    <w:next w:val="57"/>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0">
    <w:name w:val="标准文件_附录二级条标题"/>
    <w:basedOn w:val="79"/>
    <w:next w:val="57"/>
    <w:qFormat/>
    <w:uiPriority w:val="0"/>
    <w:pPr>
      <w:widowControl/>
      <w:numPr>
        <w:ilvl w:val="2"/>
      </w:numPr>
      <w:wordWrap w:val="0"/>
      <w:overflowPunct w:val="0"/>
      <w:autoSpaceDE w:val="0"/>
      <w:autoSpaceDN w:val="0"/>
      <w:textAlignment w:val="baseline"/>
      <w:outlineLvl w:val="3"/>
    </w:pPr>
  </w:style>
  <w:style w:type="paragraph" w:customStyle="1" w:styleId="81">
    <w:name w:val="标准文件_附录公式"/>
    <w:basedOn w:val="56"/>
    <w:next w:val="56"/>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2">
    <w:name w:val="标准文件_附录三级条标题"/>
    <w:next w:val="57"/>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3">
    <w:name w:val="标准文件_附录四级条标题"/>
    <w:next w:val="57"/>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4">
    <w:name w:val="标准文件_附录图标题"/>
    <w:next w:val="57"/>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5">
    <w:name w:val="标准文件_附录五级条标题"/>
    <w:next w:val="57"/>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6">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paragraph" w:customStyle="1" w:styleId="87">
    <w:name w:val="标准文件_附录章标题"/>
    <w:next w:val="57"/>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7"/>
    <w:next w:val="57"/>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7"/>
    <w:qFormat/>
    <w:uiPriority w:val="0"/>
    <w:pPr>
      <w:spacing w:line="460" w:lineRule="exact"/>
      <w:ind w:left="0" w:firstLine="0"/>
    </w:pPr>
  </w:style>
  <w:style w:type="paragraph" w:customStyle="1" w:styleId="91">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pPr>
  </w:style>
  <w:style w:type="paragraph" w:customStyle="1" w:styleId="94">
    <w:name w:val="标准文件_三级条标题"/>
    <w:basedOn w:val="66"/>
    <w:next w:val="57"/>
    <w:qFormat/>
    <w:uiPriority w:val="0"/>
    <w:pPr>
      <w:widowControl/>
      <w:numPr>
        <w:ilvl w:val="4"/>
      </w:numPr>
      <w:outlineLvl w:val="3"/>
    </w:pPr>
  </w:style>
  <w:style w:type="character" w:customStyle="1" w:styleId="95">
    <w:name w:val="Subtle Reference"/>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7"/>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字符"/>
    <w:link w:val="21"/>
    <w:semiHidden/>
    <w:qFormat/>
    <w:uiPriority w:val="0"/>
    <w:rPr>
      <w:rFonts w:ascii="宋体"/>
      <w:kern w:val="2"/>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7"/>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7"/>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7"/>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7"/>
    <w:qFormat/>
    <w:uiPriority w:val="0"/>
    <w:pPr>
      <w:numPr>
        <w:ilvl w:val="2"/>
      </w:numPr>
      <w:spacing w:before="50" w:beforeLines="50" w:after="50" w:afterLines="5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6"/>
    <w:qFormat/>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0">
    <w:name w:val="标准文件_英文注："/>
    <w:basedOn w:val="1"/>
    <w:next w:val="57"/>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7"/>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6"/>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7"/>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7"/>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7"/>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7"/>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7"/>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7"/>
    <w:qFormat/>
    <w:uiPriority w:val="0"/>
    <w:pPr>
      <w:outlineLvl w:val="4"/>
    </w:pPr>
  </w:style>
  <w:style w:type="paragraph" w:customStyle="1" w:styleId="130">
    <w:name w:val="附录四级无标题条"/>
    <w:basedOn w:val="129"/>
    <w:next w:val="57"/>
    <w:qFormat/>
    <w:uiPriority w:val="0"/>
    <w:pPr>
      <w:outlineLvl w:val="5"/>
    </w:pPr>
  </w:style>
  <w:style w:type="paragraph" w:customStyle="1" w:styleId="131">
    <w:name w:val="附录图"/>
    <w:next w:val="57"/>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7"/>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7"/>
    <w:qFormat/>
    <w:uiPriority w:val="0"/>
    <w:pPr>
      <w:autoSpaceDN w:val="0"/>
      <w:outlineLvl w:val="2"/>
    </w:pPr>
    <w:rPr>
      <w:rFonts w:ascii="宋体" w:hAnsi="宋体" w:eastAsia="宋体"/>
    </w:rPr>
  </w:style>
  <w:style w:type="character" w:customStyle="1" w:styleId="136">
    <w:name w:val="个人答复风格"/>
    <w:qFormat/>
    <w:uiPriority w:val="0"/>
    <w:rPr>
      <w:rFonts w:ascii="Arial" w:hAnsi="Arial" w:eastAsia="宋体" w:cs="Arial"/>
      <w:color w:val="auto"/>
      <w:spacing w:val="0"/>
      <w:sz w:val="20"/>
    </w:rPr>
  </w:style>
  <w:style w:type="character" w:customStyle="1" w:styleId="137">
    <w:name w:val="个人撰写风格"/>
    <w:qFormat/>
    <w:uiPriority w:val="0"/>
    <w:rPr>
      <w:rFonts w:ascii="Arial" w:hAnsi="Arial" w:eastAsia="宋体" w:cs="Arial"/>
      <w:color w:val="auto"/>
      <w:spacing w:val="0"/>
      <w:sz w:val="20"/>
    </w:rPr>
  </w:style>
  <w:style w:type="paragraph" w:customStyle="1" w:styleId="138">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7"/>
    <w:qFormat/>
    <w:uiPriority w:val="0"/>
    <w:pPr>
      <w:tabs>
        <w:tab w:val="left" w:pos="840"/>
      </w:tabs>
    </w:pPr>
  </w:style>
  <w:style w:type="paragraph" w:customStyle="1" w:styleId="14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autoRedefine/>
    <w:semiHidden/>
    <w:qFormat/>
    <w:uiPriority w:val="0"/>
    <w:pPr>
      <w:adjustRightInd/>
      <w:spacing w:line="240" w:lineRule="auto"/>
      <w:jc w:val="left"/>
    </w:pPr>
    <w:rPr>
      <w:bCs/>
      <w:iCs/>
    </w:rPr>
  </w:style>
  <w:style w:type="paragraph" w:customStyle="1" w:styleId="143">
    <w:name w:val="目录 31"/>
    <w:basedOn w:val="1"/>
    <w:next w:val="1"/>
    <w:autoRedefine/>
    <w:semiHidden/>
    <w:qFormat/>
    <w:uiPriority w:val="0"/>
    <w:pPr>
      <w:spacing w:line="240" w:lineRule="auto"/>
    </w:pPr>
    <w:rPr>
      <w:rFonts w:ascii="宋体" w:hAnsi="宋体"/>
      <w:iCs/>
    </w:rPr>
  </w:style>
  <w:style w:type="paragraph" w:customStyle="1" w:styleId="144">
    <w:name w:val="目录 41"/>
    <w:basedOn w:val="1"/>
    <w:next w:val="1"/>
    <w:autoRedefine/>
    <w:semiHidden/>
    <w:qFormat/>
    <w:uiPriority w:val="0"/>
    <w:pPr>
      <w:adjustRightInd/>
      <w:spacing w:line="240" w:lineRule="auto"/>
      <w:jc w:val="left"/>
    </w:pPr>
  </w:style>
  <w:style w:type="paragraph" w:customStyle="1" w:styleId="145">
    <w:name w:val="目录 51"/>
    <w:basedOn w:val="1"/>
    <w:next w:val="1"/>
    <w:autoRedefine/>
    <w:semiHidden/>
    <w:qFormat/>
    <w:uiPriority w:val="0"/>
    <w:pPr>
      <w:spacing w:line="240" w:lineRule="auto"/>
    </w:pPr>
    <w:rPr>
      <w:rFonts w:ascii="宋体" w:hAnsi="宋体"/>
    </w:rPr>
  </w:style>
  <w:style w:type="paragraph" w:customStyle="1" w:styleId="146">
    <w:name w:val="目录 61"/>
    <w:basedOn w:val="1"/>
    <w:next w:val="1"/>
    <w:autoRedefine/>
    <w:semiHidden/>
    <w:qFormat/>
    <w:uiPriority w:val="0"/>
    <w:pPr>
      <w:adjustRightInd/>
      <w:spacing w:line="240" w:lineRule="auto"/>
      <w:jc w:val="left"/>
    </w:pPr>
  </w:style>
  <w:style w:type="paragraph" w:customStyle="1" w:styleId="147">
    <w:name w:val="目录 71"/>
    <w:basedOn w:val="146"/>
    <w:autoRedefine/>
    <w:semiHidden/>
    <w:qFormat/>
    <w:uiPriority w:val="0"/>
    <w:pPr>
      <w:ind w:left="1260"/>
    </w:pPr>
  </w:style>
  <w:style w:type="paragraph" w:customStyle="1" w:styleId="148">
    <w:name w:val="目录 81"/>
    <w:basedOn w:val="147"/>
    <w:autoRedefine/>
    <w:semiHidden/>
    <w:qFormat/>
    <w:uiPriority w:val="0"/>
    <w:pPr>
      <w:ind w:left="1470"/>
    </w:pPr>
  </w:style>
  <w:style w:type="paragraph" w:customStyle="1" w:styleId="149">
    <w:name w:val="目录 91"/>
    <w:basedOn w:val="148"/>
    <w:autoRedefine/>
    <w:semiHidden/>
    <w:qFormat/>
    <w:uiPriority w:val="0"/>
    <w:pPr>
      <w:ind w:left="1680"/>
    </w:pPr>
  </w:style>
  <w:style w:type="paragraph" w:customStyle="1" w:styleId="1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wrap="around"/>
      <w:spacing w:line="0" w:lineRule="atLeast"/>
    </w:pPr>
    <w:rPr>
      <w:rFonts w:ascii="黑体" w:eastAsia="黑体"/>
      <w:b w:val="0"/>
    </w:rPr>
  </w:style>
  <w:style w:type="paragraph" w:customStyle="1" w:styleId="152">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qFormat/>
    <w:uiPriority w:val="0"/>
    <w:pPr>
      <w:framePr w:hSpace="0" w:wrap="around" w:xAlign="right"/>
      <w:jc w:val="right"/>
    </w:pPr>
  </w:style>
  <w:style w:type="paragraph" w:customStyle="1" w:styleId="155">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7"/>
    <w:qFormat/>
    <w:uiPriority w:val="0"/>
    <w:pPr>
      <w:jc w:val="both"/>
    </w:pPr>
    <w:rPr>
      <w:rFonts w:ascii="宋体" w:hAnsi="宋体" w:eastAsia="宋体" w:cs="Times New Roman"/>
      <w:sz w:val="21"/>
      <w:lang w:val="en-US" w:eastAsia="zh-CN" w:bidi="ar-SA"/>
    </w:rPr>
  </w:style>
  <w:style w:type="paragraph" w:customStyle="1" w:styleId="158">
    <w:name w:val="五级无标题条"/>
    <w:basedOn w:val="1"/>
    <w:qFormat/>
    <w:uiPriority w:val="0"/>
    <w:pPr>
      <w:numPr>
        <w:ilvl w:val="6"/>
        <w:numId w:val="20"/>
      </w:numPr>
      <w:adjustRightInd/>
    </w:pPr>
    <w:rPr>
      <w:szCs w:val="24"/>
    </w:rPr>
  </w:style>
  <w:style w:type="paragraph" w:customStyle="1" w:styleId="159">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0">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qFormat/>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6"/>
    <w:qFormat/>
    <w:uiPriority w:val="0"/>
    <w:pPr>
      <w:spacing w:before="0" w:beforeLines="0" w:after="0" w:afterLines="0"/>
      <w:outlineLvl w:val="9"/>
    </w:pPr>
    <w:rPr>
      <w:rFonts w:ascii="宋体" w:eastAsia="宋体"/>
    </w:rPr>
  </w:style>
  <w:style w:type="paragraph" w:customStyle="1" w:styleId="166">
    <w:name w:val="标准_四级无标题"/>
    <w:basedOn w:val="98"/>
    <w:next w:val="57"/>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7"/>
    <w:qFormat/>
    <w:uiPriority w:val="0"/>
    <w:pPr>
      <w:numPr>
        <w:ilvl w:val="0"/>
        <w:numId w:val="23"/>
      </w:numPr>
      <w:ind w:firstLine="0" w:firstLineChars="0"/>
    </w:pPr>
    <w:rPr>
      <w:rFonts w:ascii="Times New Roman" w:cs="Arial"/>
      <w:szCs w:val="28"/>
    </w:rPr>
  </w:style>
  <w:style w:type="paragraph" w:customStyle="1" w:styleId="169">
    <w:name w:val="标准文件_小写罗马数字编号列项"/>
    <w:basedOn w:val="57"/>
    <w:qFormat/>
    <w:uiPriority w:val="0"/>
    <w:pPr>
      <w:numPr>
        <w:ilvl w:val="0"/>
        <w:numId w:val="24"/>
      </w:numPr>
      <w:ind w:firstLine="0" w:firstLineChars="0"/>
    </w:pPr>
    <w:rPr>
      <w:rFonts w:cs="Arial"/>
      <w:szCs w:val="28"/>
    </w:rPr>
  </w:style>
  <w:style w:type="paragraph" w:customStyle="1" w:styleId="170">
    <w:name w:val="标准文件_附录标题"/>
    <w:basedOn w:val="77"/>
    <w:qFormat/>
    <w:uiPriority w:val="0"/>
    <w:pPr>
      <w:numPr>
        <w:numId w:val="0"/>
      </w:numPr>
      <w:spacing w:after="280"/>
      <w:outlineLvl w:val="9"/>
    </w:pPr>
  </w:style>
  <w:style w:type="paragraph" w:customStyle="1" w:styleId="171">
    <w:name w:val="标准文件_二级项"/>
    <w:qFormat/>
    <w:uiPriority w:val="0"/>
    <w:rPr>
      <w:rFonts w:ascii="宋体" w:hAnsi="Times New Roman" w:eastAsia="宋体" w:cs="Times New Roman"/>
      <w:sz w:val="21"/>
      <w:lang w:val="en-US" w:eastAsia="zh-CN" w:bidi="ar-SA"/>
    </w:rPr>
  </w:style>
  <w:style w:type="paragraph" w:customStyle="1" w:styleId="172">
    <w:name w:val="标准文件_三级项"/>
    <w:basedOn w:val="1"/>
    <w:qFormat/>
    <w:uiPriority w:val="0"/>
    <w:pPr>
      <w:numPr>
        <w:ilvl w:val="2"/>
        <w:numId w:val="21"/>
      </w:numPr>
      <w:spacing w:line="536870612" w:lineRule="auto"/>
    </w:pPr>
    <w:rPr>
      <w:rFonts w:ascii="Times New Roman" w:hAnsi="Times New Roman"/>
    </w:rPr>
  </w:style>
  <w:style w:type="paragraph" w:customStyle="1" w:styleId="173">
    <w:name w:val="图表脚注说明"/>
    <w:basedOn w:val="1"/>
    <w:next w:val="57"/>
    <w:qFormat/>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7"/>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7"/>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7"/>
    <w:qFormat/>
    <w:uiPriority w:val="0"/>
    <w:pPr>
      <w:ind w:firstLine="0" w:firstLineChars="0"/>
      <w:jc w:val="center"/>
    </w:pPr>
    <w:rPr>
      <w:sz w:val="18"/>
    </w:rPr>
  </w:style>
  <w:style w:type="paragraph" w:customStyle="1" w:styleId="179">
    <w:name w:val="标准文件_注："/>
    <w:next w:val="57"/>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7"/>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7"/>
    <w:qFormat/>
    <w:uiPriority w:val="0"/>
    <w:rPr>
      <w:rFonts w:ascii="宋体" w:hAnsi="Times New Roman"/>
      <w:sz w:val="21"/>
    </w:rPr>
  </w:style>
  <w:style w:type="paragraph" w:customStyle="1" w:styleId="185">
    <w:name w:val="标准文件_表格续"/>
    <w:basedOn w:val="57"/>
    <w:next w:val="57"/>
    <w:qFormat/>
    <w:uiPriority w:val="0"/>
    <w:pPr>
      <w:jc w:val="center"/>
    </w:pPr>
    <w:rPr>
      <w:rFonts w:ascii="黑体" w:hAnsi="黑体" w:eastAsia="黑体"/>
    </w:rPr>
  </w:style>
  <w:style w:type="character" w:styleId="186">
    <w:name w:val="Placeholder Text"/>
    <w:basedOn w:val="28"/>
    <w:semiHidden/>
    <w:qFormat/>
    <w:uiPriority w:val="99"/>
    <w:rPr>
      <w:color w:val="808080"/>
    </w:rPr>
  </w:style>
  <w:style w:type="paragraph" w:customStyle="1" w:styleId="187">
    <w:name w:val="标准文件_二级项2"/>
    <w:basedOn w:val="57"/>
    <w:qFormat/>
    <w:uiPriority w:val="0"/>
    <w:pPr>
      <w:numPr>
        <w:ilvl w:val="1"/>
        <w:numId w:val="21"/>
      </w:numPr>
      <w:ind w:firstLine="0" w:firstLineChars="0"/>
    </w:pPr>
  </w:style>
  <w:style w:type="paragraph" w:customStyle="1" w:styleId="188">
    <w:name w:val="标准文件_三级项2"/>
    <w:basedOn w:val="57"/>
    <w:qFormat/>
    <w:uiPriority w:val="0"/>
    <w:pPr>
      <w:numPr>
        <w:ilvl w:val="0"/>
        <w:numId w:val="30"/>
      </w:numPr>
      <w:spacing w:line="300" w:lineRule="exact"/>
      <w:ind w:firstLineChars="0"/>
    </w:pPr>
    <w:rPr>
      <w:rFonts w:ascii="Times New Roman"/>
    </w:rPr>
  </w:style>
  <w:style w:type="paragraph" w:customStyle="1" w:styleId="189">
    <w:name w:val="标准文件_一级项2"/>
    <w:basedOn w:val="57"/>
    <w:qFormat/>
    <w:uiPriority w:val="0"/>
    <w:pPr>
      <w:numPr>
        <w:ilvl w:val="0"/>
        <w:numId w:val="31"/>
      </w:numPr>
      <w:spacing w:line="300" w:lineRule="exact"/>
      <w:ind w:firstLineChars="0"/>
    </w:pPr>
    <w:rPr>
      <w:rFonts w:ascii="Times New Roman"/>
    </w:rPr>
  </w:style>
  <w:style w:type="paragraph" w:customStyle="1" w:styleId="190">
    <w:name w:val="标准文件_提示"/>
    <w:basedOn w:val="57"/>
    <w:next w:val="57"/>
    <w:qFormat/>
    <w:uiPriority w:val="0"/>
    <w:pPr>
      <w:ind w:firstLine="420"/>
    </w:pPr>
    <w:rPr>
      <w:rFonts w:ascii="黑体" w:eastAsia="黑体"/>
    </w:rPr>
  </w:style>
  <w:style w:type="character" w:customStyle="1" w:styleId="191">
    <w:name w:val="标准文件_来源"/>
    <w:basedOn w:val="28"/>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qFormat/>
    <w:uiPriority w:val="0"/>
    <w:pPr>
      <w:framePr w:w="3997" w:h="471" w:hRule="exact" w:hSpace="0" w:vSpace="181" w:wrap="around" w:vAnchor="page" w:hAnchor="page" w:x="1419" w:y="14097"/>
    </w:pPr>
  </w:style>
  <w:style w:type="paragraph" w:customStyle="1" w:styleId="194">
    <w:name w:val="其他实施日期"/>
    <w:basedOn w:val="154"/>
    <w:qFormat/>
    <w:uiPriority w:val="0"/>
    <w:pPr>
      <w:framePr w:w="3997" w:h="471" w:hRule="exact" w:vSpace="181" w:wrap="around" w:vAnchor="page" w:hAnchor="page" w:x="7089" w:y="14097"/>
    </w:pPr>
  </w:style>
  <w:style w:type="paragraph" w:customStyle="1" w:styleId="195">
    <w:name w:val="标准文件_文件编号"/>
    <w:basedOn w:val="57"/>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spacing w:before="57"/>
    </w:pPr>
    <w:rPr>
      <w:sz w:val="21"/>
    </w:rPr>
  </w:style>
  <w:style w:type="paragraph" w:customStyle="1" w:styleId="197">
    <w:name w:val="标准文件_文件名称"/>
    <w:basedOn w:val="57"/>
    <w:next w:val="57"/>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7"/>
    <w:next w:val="57"/>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7"/>
    <w:next w:val="57"/>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7"/>
    <w:next w:val="57"/>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7"/>
    <w:next w:val="57"/>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7"/>
    <w:next w:val="57"/>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7"/>
    <w:next w:val="57"/>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7"/>
    <w:next w:val="57"/>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7"/>
    <w:qFormat/>
    <w:uiPriority w:val="0"/>
    <w:pPr>
      <w:ind w:left="811" w:firstLine="0" w:firstLineChars="0"/>
    </w:pPr>
    <w:rPr>
      <w:sz w:val="18"/>
    </w:rPr>
  </w:style>
  <w:style w:type="paragraph" w:customStyle="1" w:styleId="206">
    <w:name w:val="标准文件_注X后"/>
    <w:basedOn w:val="57"/>
    <w:qFormat/>
    <w:uiPriority w:val="0"/>
    <w:pPr>
      <w:ind w:left="811" w:firstLine="0" w:firstLineChars="0"/>
    </w:pPr>
    <w:rPr>
      <w:sz w:val="18"/>
    </w:rPr>
  </w:style>
  <w:style w:type="paragraph" w:customStyle="1" w:styleId="207">
    <w:name w:val="标准文件_示例后"/>
    <w:basedOn w:val="57"/>
    <w:qFormat/>
    <w:uiPriority w:val="0"/>
    <w:pPr>
      <w:ind w:left="964" w:firstLine="0" w:firstLineChars="0"/>
    </w:pPr>
    <w:rPr>
      <w:sz w:val="18"/>
    </w:rPr>
  </w:style>
  <w:style w:type="paragraph" w:customStyle="1" w:styleId="208">
    <w:name w:val="标准文件_示例X后"/>
    <w:basedOn w:val="57"/>
    <w:link w:val="209"/>
    <w:qFormat/>
    <w:uiPriority w:val="0"/>
    <w:pPr>
      <w:ind w:left="1049" w:firstLine="0" w:firstLineChars="0"/>
    </w:pPr>
    <w:rPr>
      <w:sz w:val="18"/>
    </w:rPr>
  </w:style>
  <w:style w:type="character" w:customStyle="1" w:styleId="209">
    <w:name w:val="标准文件_示例X后 字符"/>
    <w:basedOn w:val="184"/>
    <w:link w:val="208"/>
    <w:qFormat/>
    <w:uiPriority w:val="0"/>
    <w:rPr>
      <w:rFonts w:ascii="宋体" w:hAnsi="Times New Roman"/>
      <w:sz w:val="18"/>
    </w:rPr>
  </w:style>
  <w:style w:type="paragraph" w:customStyle="1" w:styleId="210">
    <w:name w:val="标准文件_索引项"/>
    <w:basedOn w:val="57"/>
    <w:next w:val="57"/>
    <w:qFormat/>
    <w:uiPriority w:val="0"/>
    <w:pPr>
      <w:tabs>
        <w:tab w:val="right" w:leader="dot" w:pos="9356"/>
      </w:tabs>
      <w:ind w:left="210" w:hanging="210" w:firstLineChars="0"/>
      <w:jc w:val="left"/>
    </w:pPr>
  </w:style>
  <w:style w:type="paragraph" w:customStyle="1" w:styleId="211">
    <w:name w:val="标准文件_附录一级无标题"/>
    <w:basedOn w:val="79"/>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80"/>
    <w:qFormat/>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2"/>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3"/>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5"/>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7"/>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7"/>
    <w:qFormat/>
    <w:uiPriority w:val="0"/>
    <w:pPr>
      <w:spacing w:before="0" w:beforeLines="0" w:after="0" w:afterLines="0" w:line="276" w:lineRule="auto"/>
    </w:pPr>
    <w:rPr>
      <w:rFonts w:ascii="宋体" w:eastAsia="宋体"/>
    </w:rPr>
  </w:style>
  <w:style w:type="paragraph" w:customStyle="1" w:styleId="218">
    <w:name w:val="标准文件_引言三级无标题"/>
    <w:basedOn w:val="202"/>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7"/>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7"/>
    <w:qFormat/>
    <w:uiPriority w:val="0"/>
    <w:pPr>
      <w:spacing w:before="0" w:beforeLines="0" w:after="0" w:afterLines="0" w:line="276" w:lineRule="auto"/>
    </w:pPr>
    <w:rPr>
      <w:rFonts w:ascii="宋体" w:eastAsia="宋体"/>
    </w:rPr>
  </w:style>
  <w:style w:type="paragraph" w:customStyle="1" w:styleId="221">
    <w:name w:val="标准文件_索引标题"/>
    <w:basedOn w:val="64"/>
    <w:next w:val="57"/>
    <w:qFormat/>
    <w:uiPriority w:val="0"/>
    <w:rPr>
      <w:rFonts w:hAnsi="黑体"/>
    </w:rPr>
  </w:style>
  <w:style w:type="paragraph" w:customStyle="1" w:styleId="222">
    <w:name w:val="标准文件_脚注内容"/>
    <w:basedOn w:val="57"/>
    <w:qFormat/>
    <w:uiPriority w:val="0"/>
    <w:pPr>
      <w:ind w:left="400" w:leftChars="200" w:hanging="200" w:hangingChars="200"/>
    </w:pPr>
    <w:rPr>
      <w:sz w:val="15"/>
    </w:rPr>
  </w:style>
  <w:style w:type="paragraph" w:customStyle="1" w:styleId="223">
    <w:name w:val="标准文件_术语条一"/>
    <w:basedOn w:val="162"/>
    <w:next w:val="57"/>
    <w:qFormat/>
    <w:uiPriority w:val="0"/>
  </w:style>
  <w:style w:type="paragraph" w:customStyle="1" w:styleId="224">
    <w:name w:val="标准文件_术语条二"/>
    <w:basedOn w:val="165"/>
    <w:next w:val="57"/>
    <w:qFormat/>
    <w:uiPriority w:val="0"/>
  </w:style>
  <w:style w:type="paragraph" w:customStyle="1" w:styleId="225">
    <w:name w:val="标准文件_术语条三"/>
    <w:basedOn w:val="164"/>
    <w:next w:val="57"/>
    <w:qFormat/>
    <w:uiPriority w:val="0"/>
  </w:style>
  <w:style w:type="paragraph" w:customStyle="1" w:styleId="226">
    <w:name w:val="标准文件_术语条四"/>
    <w:basedOn w:val="167"/>
    <w:next w:val="57"/>
    <w:qFormat/>
    <w:uiPriority w:val="0"/>
  </w:style>
  <w:style w:type="paragraph" w:customStyle="1" w:styleId="227">
    <w:name w:val="标准文件_术语条五"/>
    <w:basedOn w:val="163"/>
    <w:next w:val="57"/>
    <w:qFormat/>
    <w:uiPriority w:val="0"/>
  </w:style>
  <w:style w:type="paragraph" w:customStyle="1" w:styleId="22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8"/>
    <w:qFormat/>
    <w:uiPriority w:val="0"/>
    <w:rPr>
      <w:rFonts w:ascii="黑体" w:eastAsia="黑体"/>
      <w:spacing w:val="85"/>
      <w:w w:val="100"/>
      <w:position w:val="3"/>
      <w:sz w:val="28"/>
      <w:szCs w:val="28"/>
    </w:rPr>
  </w:style>
  <w:style w:type="paragraph" w:customStyle="1" w:styleId="230">
    <w:name w:val="段"/>
    <w:basedOn w:val="1"/>
    <w:qFormat/>
    <w:uiPriority w:val="0"/>
    <w:pPr>
      <w:widowControl/>
      <w:autoSpaceDE w:val="0"/>
      <w:autoSpaceDN w:val="0"/>
      <w:adjustRightInd/>
      <w:spacing w:line="240" w:lineRule="auto"/>
      <w:ind w:firstLine="420" w:firstLineChars="200"/>
    </w:pPr>
    <w:rPr>
      <w:rFonts w:ascii="宋体" w:hAnsi="宋体" w:cs="宋体"/>
      <w:kern w:val="0"/>
    </w:rPr>
  </w:style>
  <w:style w:type="paragraph" w:customStyle="1" w:styleId="231">
    <w:name w:val="章标题"/>
    <w:basedOn w:val="1"/>
    <w:next w:val="1"/>
    <w:qFormat/>
    <w:uiPriority w:val="0"/>
    <w:pPr>
      <w:widowControl/>
      <w:adjustRightInd/>
      <w:spacing w:beforeLines="100" w:afterLines="100" w:line="240" w:lineRule="auto"/>
      <w:outlineLvl w:val="1"/>
    </w:pPr>
    <w:rPr>
      <w:rFonts w:ascii="黑体" w:hAnsi="黑体" w:eastAsia="黑体" w:cs="宋体"/>
      <w:kern w:val="0"/>
    </w:rPr>
  </w:style>
  <w:style w:type="paragraph" w:customStyle="1" w:styleId="232">
    <w:name w:val="一级条标题"/>
    <w:basedOn w:val="1"/>
    <w:next w:val="1"/>
    <w:qFormat/>
    <w:uiPriority w:val="0"/>
    <w:pPr>
      <w:widowControl/>
      <w:adjustRightInd/>
      <w:spacing w:beforeLines="50" w:afterLines="50" w:line="240" w:lineRule="auto"/>
      <w:jc w:val="left"/>
      <w:outlineLvl w:val="2"/>
    </w:pPr>
    <w:rPr>
      <w:rFonts w:ascii="黑体" w:hAnsi="黑体" w:eastAsia="黑体" w:cs="宋体"/>
      <w:kern w:val="0"/>
    </w:rPr>
  </w:style>
  <w:style w:type="paragraph" w:customStyle="1" w:styleId="233">
    <w:name w:val="二级条标题"/>
    <w:basedOn w:val="232"/>
    <w:next w:val="230"/>
    <w:qFormat/>
    <w:uiPriority w:val="0"/>
    <w:pPr>
      <w:outlineLvl w:val="3"/>
    </w:pPr>
  </w:style>
  <w:style w:type="paragraph" w:customStyle="1" w:styleId="234">
    <w:name w:val="Normal"/>
    <w:qFormat/>
    <w:uiPriority w:val="0"/>
    <w:pPr>
      <w:jc w:val="both"/>
    </w:pPr>
    <w:rPr>
      <w:rFonts w:ascii="宋体" w:hAnsi="宋体" w:eastAsia="宋体" w:cs="宋体"/>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glossaryDocument" Target="glossary/document.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3.jpeg"/><Relationship Id="rId16" Type="http://schemas.openxmlformats.org/officeDocument/2006/relationships/image" Target="media/image2.jpeg"/><Relationship Id="rId15" Type="http://schemas.openxmlformats.org/officeDocument/2006/relationships/image" Target="media/image1.jpeg"/><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B70462E26DDA49859E0A20B258E077C0"/>
        <w:style w:val=""/>
        <w:category>
          <w:name w:val="常规"/>
          <w:gallery w:val="placeholder"/>
        </w:category>
        <w:types>
          <w:type w:val="bbPlcHdr"/>
        </w:types>
        <w:behaviors>
          <w:behavior w:val="content"/>
        </w:behaviors>
        <w:description w:val=""/>
        <w:guid w:val="{46F5B0CB-FEE8-48F6-AD80-87071733B74E}"/>
      </w:docPartPr>
      <w:docPartBody>
        <w:p w14:paraId="05F00B5F">
          <w:pPr>
            <w:pStyle w:val="5"/>
          </w:pPr>
          <w:r>
            <w:rPr>
              <w:rStyle w:val="4"/>
              <w:rFonts w:hint="eastAsia"/>
            </w:rPr>
            <w:t>单击或点击此处输入文字。</w:t>
          </w:r>
        </w:p>
      </w:docPartBody>
    </w:docPart>
    <w:docPart>
      <w:docPartPr>
        <w:name w:val="24FBA06941704247B0C411044D98E9B8"/>
        <w:style w:val=""/>
        <w:category>
          <w:name w:val="常规"/>
          <w:gallery w:val="placeholder"/>
        </w:category>
        <w:types>
          <w:type w:val="bbPlcHdr"/>
        </w:types>
        <w:behaviors>
          <w:behavior w:val="content"/>
        </w:behaviors>
        <w:description w:val=""/>
        <w:guid w:val="{CCA590B6-2CBD-4663-8580-F8763CA269E3}"/>
      </w:docPartPr>
      <w:docPartBody>
        <w:p w14:paraId="26D994D0">
          <w:pPr>
            <w:pStyle w:val="6"/>
          </w:pPr>
          <w:r>
            <w:rPr>
              <w:rStyle w:val="4"/>
              <w:rFonts w:hint="eastAsia"/>
            </w:rPr>
            <w:t>选择一项。</w:t>
          </w:r>
        </w:p>
      </w:docPartBody>
    </w:docPart>
    <w:docPart>
      <w:docPartPr>
        <w:name w:val="0D68CEEFA0754F12AE8648159F156529"/>
        <w:style w:val=""/>
        <w:category>
          <w:name w:val="常规"/>
          <w:gallery w:val="placeholder"/>
        </w:category>
        <w:types>
          <w:type w:val="bbPlcHdr"/>
        </w:types>
        <w:behaviors>
          <w:behavior w:val="content"/>
        </w:behaviors>
        <w:description w:val=""/>
        <w:guid w:val="{2AD7A8C6-1C9B-4011-9805-1EB54BA227A2}"/>
      </w:docPartPr>
      <w:docPartBody>
        <w:p w14:paraId="25FEBBA7">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48D"/>
    <w:rsid w:val="0015448D"/>
    <w:rsid w:val="00F74D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B70462E26DDA49859E0A20B258E077C0"/>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6">
    <w:name w:val="24FBA06941704247B0C411044D98E9B8"/>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7">
    <w:name w:val="0D68CEEFA0754F12AE8648159F156529"/>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团体标准</Template>
  <Company>PCMI</Company>
  <Pages>10</Pages>
  <Words>4670</Words>
  <Characters>5770</Characters>
  <Lines>712</Lines>
  <Paragraphs>641</Paragraphs>
  <TotalTime>132</TotalTime>
  <ScaleCrop>false</ScaleCrop>
  <LinksUpToDate>false</LinksUpToDate>
  <CharactersWithSpaces>6319</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2024-11-04T06:16:00Z</dcterms:created>
  <dc:creator>Administrator</dc:creator>
  <dc:description>&lt;config cover="true" show_menu="true" version="1.0.0" doctype="SDKXY"&gt;_x000d_
&lt;/config&gt;</dc:description>
  <cp:lastModifiedBy>Lenovo</cp:lastModifiedBy>
  <cp:lastPrinted>2021-02-02T08:22:00Z</cp:lastPrinted>
  <dcterms:modified xsi:type="dcterms:W3CDTF">2024-11-28T08:06:07Z</dcterms:modified>
  <dc:title>团体标准</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2052-12.1.0.18912</vt:lpwstr>
  </property>
  <property fmtid="{D5CDD505-2E9C-101B-9397-08002B2CF9AE}" pid="15" name="ICV">
    <vt:lpwstr>D327703E92B94C8FB764FC293362BEF1_13</vt:lpwstr>
  </property>
</Properties>
</file>