
<file path=[Content_Types].xml><?xml version="1.0" encoding="utf-8"?>
<Types xmlns="http://schemas.openxmlformats.org/package/2006/content-types">
  <Default Extension="xml" ContentType="application/xml"/>
  <Default Extension="bin" ContentType="application/vnd.openxmlformats-officedocument.oleObject"/>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8BD218B">
      <w:pPr>
        <w:rPr>
          <w:rFonts w:hint="default" w:eastAsiaTheme="minorEastAsia"/>
          <w:lang w:val="en-US" w:eastAsia="zh-CN"/>
        </w:rPr>
      </w:pPr>
      <w:r>
        <w:rPr>
          <w:rFonts w:hint="eastAsia"/>
          <w:lang w:val="en-US" w:eastAsia="zh-CN"/>
        </w:rPr>
        <w:t>ICS  29.240.1</w:t>
      </w:r>
    </w:p>
    <w:p w14:paraId="086B32BE">
      <w:r>
        <w:rPr>
          <w:rFonts w:hint="eastAsia"/>
          <w:lang w:val="en-US" w:eastAsia="zh-CN"/>
        </w:rPr>
        <w:t>K  60/69</w:t>
      </w:r>
      <w:r>
        <w:rPr>
          <w:rFonts w:hint="eastAsia"/>
        </w:rPr>
        <w:t xml:space="preserve">             </w:t>
      </w:r>
    </w:p>
    <w:p w14:paraId="70CAFA1D"/>
    <w:p w14:paraId="3A4127D8">
      <w:pPr>
        <w:jc w:val="center"/>
        <w:rPr>
          <w:rFonts w:hint="eastAsia" w:ascii="黑体" w:hAnsi="黑体" w:eastAsia="黑体" w:cs="黑体"/>
          <w:sz w:val="96"/>
          <w:szCs w:val="160"/>
          <w:lang w:val="en-US" w:eastAsia="zh-CN"/>
        </w:rPr>
      </w:pPr>
      <w:r>
        <w:rPr>
          <w:rFonts w:hint="eastAsia" w:ascii="黑体" w:hAnsi="黑体" w:eastAsia="黑体" w:cs="黑体"/>
          <w:sz w:val="96"/>
          <w:szCs w:val="160"/>
          <w:lang w:val="en-US" w:eastAsia="zh-CN"/>
        </w:rPr>
        <w:t>团 体 标 准</w:t>
      </w:r>
    </w:p>
    <w:p w14:paraId="5F88E9B9"/>
    <w:p w14:paraId="23A73576"/>
    <w:p w14:paraId="6B195CBB">
      <w:pPr>
        <w:jc w:val="right"/>
        <w:rPr>
          <w:rFonts w:hint="default" w:ascii="黑体" w:hAnsi="黑体" w:eastAsia="黑体" w:cs="黑体"/>
          <w:sz w:val="28"/>
          <w:szCs w:val="28"/>
          <w:lang w:val="en-US" w:eastAsia="zh-CN"/>
        </w:rPr>
      </w:pPr>
      <w:r>
        <w:rPr>
          <w:rFonts w:hint="eastAsia" w:ascii="黑体" w:hAnsi="黑体" w:eastAsia="黑体" w:cs="黑体"/>
          <w:sz w:val="28"/>
          <w:szCs w:val="28"/>
        </w:rPr>
        <w:t>T/</w:t>
      </w:r>
      <w:r>
        <w:rPr>
          <w:rFonts w:hint="eastAsia" w:ascii="黑体" w:hAnsi="黑体" w:eastAsia="黑体" w:cs="黑体"/>
          <w:sz w:val="28"/>
          <w:szCs w:val="28"/>
          <w:lang w:val="en-US" w:eastAsia="zh-CN"/>
        </w:rPr>
        <w:t>GSEE</w:t>
      </w:r>
      <w:r>
        <w:rPr>
          <w:rFonts w:hint="eastAsia" w:ascii="黑体" w:hAnsi="黑体" w:eastAsia="黑体" w:cs="黑体"/>
          <w:sz w:val="28"/>
          <w:szCs w:val="28"/>
        </w:rPr>
        <w:t xml:space="preserve">  </w:t>
      </w:r>
      <w:r>
        <w:rPr>
          <w:rFonts w:hint="eastAsia" w:ascii="黑体" w:hAnsi="黑体" w:eastAsia="黑体" w:cs="黑体"/>
          <w:sz w:val="28"/>
          <w:szCs w:val="28"/>
          <w:lang w:val="en-US" w:eastAsia="zh-CN"/>
        </w:rPr>
        <w:t>XXXX</w:t>
      </w:r>
      <w:r>
        <w:rPr>
          <w:rFonts w:hint="eastAsia" w:ascii="黑体" w:hAnsi="黑体" w:eastAsia="黑体" w:cs="黑体"/>
          <w:sz w:val="28"/>
          <w:szCs w:val="28"/>
        </w:rPr>
        <w:t>-</w:t>
      </w:r>
      <w:r>
        <w:rPr>
          <w:rFonts w:hint="eastAsia" w:ascii="黑体" w:hAnsi="黑体" w:eastAsia="黑体" w:cs="黑体"/>
          <w:sz w:val="28"/>
          <w:szCs w:val="28"/>
          <w:lang w:val="en-US" w:eastAsia="zh-CN"/>
        </w:rPr>
        <w:t>XXX</w:t>
      </w:r>
    </w:p>
    <w:p w14:paraId="1AB44259"/>
    <w:p w14:paraId="69486465">
      <w:r>
        <mc:AlternateContent>
          <mc:Choice Requires="wps">
            <w:drawing>
              <wp:anchor distT="0" distB="0" distL="114300" distR="114300" simplePos="0" relativeHeight="251659264" behindDoc="0" locked="1" layoutInCell="1" allowOverlap="1">
                <wp:simplePos x="0" y="0"/>
                <wp:positionH relativeFrom="column">
                  <wp:posOffset>55880</wp:posOffset>
                </wp:positionH>
                <wp:positionV relativeFrom="paragraph">
                  <wp:posOffset>-76200</wp:posOffset>
                </wp:positionV>
                <wp:extent cx="5423535" cy="5080"/>
                <wp:effectExtent l="0" t="19050" r="5715" b="13970"/>
                <wp:wrapNone/>
                <wp:docPr id="6" name="直接连接符 6"/>
                <wp:cNvGraphicFramePr/>
                <a:graphic xmlns:a="http://schemas.openxmlformats.org/drawingml/2006/main">
                  <a:graphicData uri="http://schemas.microsoft.com/office/word/2010/wordprocessingShape">
                    <wps:wsp>
                      <wps:cNvCnPr>
                        <a:cxnSpLocks noChangeShapeType="1"/>
                      </wps:cNvCnPr>
                      <wps:spPr bwMode="auto">
                        <a:xfrm>
                          <a:off x="0" y="0"/>
                          <a:ext cx="5423535" cy="5080"/>
                        </a:xfrm>
                        <a:prstGeom prst="line">
                          <a:avLst/>
                        </a:prstGeom>
                        <a:noFill/>
                        <a:ln w="28575">
                          <a:solidFill>
                            <a:srgbClr val="000000"/>
                          </a:solidFill>
                          <a:round/>
                        </a:ln>
                        <a:effectLst/>
                      </wps:spPr>
                      <wps:bodyPr/>
                    </wps:wsp>
                  </a:graphicData>
                </a:graphic>
              </wp:anchor>
            </w:drawing>
          </mc:Choice>
          <mc:Fallback>
            <w:pict>
              <v:line id="_x0000_s1026" o:spid="_x0000_s1026" o:spt="20" style="position:absolute;left:0pt;margin-left:4.4pt;margin-top:-6pt;height:0.4pt;width:427.05pt;z-index:251659264;mso-width-relative:page;mso-height-relative:page;" filled="f" stroked="t" coordsize="21600,21600" o:gfxdata="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BYG4h31wAAAAkBAAAPAAAAAAAAAAEAIAAAACIAAABkcnMvZG93bnJldi54bWxQSwECFAAUAAAA&#10;CACHTuJAdU18ku8BAAC8AwAADgAAAAAAAAABACAAAAAmAQAAZHJzL2Uyb0RvYy54bWxQSwUGAAAA&#10;AAYABgBZAQAAhwUAAAAA&#10;">
                <v:fill on="f" focussize="0,0"/>
                <v:stroke weight="2.25pt" color="#000000" joinstyle="round"/>
                <v:imagedata o:title=""/>
                <o:lock v:ext="edit" aspectratio="f"/>
                <w10:anchorlock/>
              </v:line>
            </w:pict>
          </mc:Fallback>
        </mc:AlternateContent>
      </w:r>
    </w:p>
    <w:p w14:paraId="506D9615"/>
    <w:p w14:paraId="0C587B0D">
      <w:pPr>
        <w:jc w:val="center"/>
        <w:rPr>
          <w:rFonts w:ascii="黑体" w:hAnsi="黑体" w:eastAsia="黑体" w:cs="黑体"/>
          <w:sz w:val="48"/>
          <w:szCs w:val="48"/>
        </w:rPr>
      </w:pPr>
      <w:r>
        <w:rPr>
          <w:rFonts w:hint="eastAsia" w:ascii="黑体" w:hAnsi="黑体" w:eastAsia="黑体" w:cs="黑体"/>
          <w:sz w:val="48"/>
          <w:szCs w:val="48"/>
        </w:rPr>
        <w:t>SF</w:t>
      </w:r>
      <w:r>
        <w:rPr>
          <w:rFonts w:hint="eastAsia" w:ascii="黑体" w:hAnsi="黑体" w:eastAsia="黑体" w:cs="黑体"/>
          <w:sz w:val="48"/>
          <w:szCs w:val="48"/>
          <w:vertAlign w:val="subscript"/>
        </w:rPr>
        <w:t>6</w:t>
      </w:r>
      <w:r>
        <w:rPr>
          <w:rFonts w:hint="eastAsia" w:ascii="黑体" w:hAnsi="黑体" w:eastAsia="黑体" w:cs="黑体"/>
          <w:sz w:val="48"/>
          <w:szCs w:val="48"/>
        </w:rPr>
        <w:t>气体全绝缘环网开关柜自动化成套设备技术条件及检测技术规范</w:t>
      </w:r>
    </w:p>
    <w:p w14:paraId="3414A3CB">
      <w:pPr>
        <w:jc w:val="center"/>
        <w:rPr>
          <w:rFonts w:ascii="Times New Roman" w:hAnsi="Times New Roman" w:cs="Times New Roman"/>
          <w:sz w:val="28"/>
          <w:szCs w:val="28"/>
        </w:rPr>
      </w:pPr>
      <w:r>
        <w:rPr>
          <w:rFonts w:ascii="Times New Roman" w:hAnsi="Times New Roman" w:cs="Times New Roman"/>
          <w:sz w:val="28"/>
          <w:szCs w:val="28"/>
        </w:rPr>
        <w:t>SF</w:t>
      </w:r>
      <w:r>
        <w:rPr>
          <w:rFonts w:ascii="Times New Roman" w:hAnsi="Times New Roman" w:cs="Times New Roman"/>
          <w:sz w:val="28"/>
          <w:szCs w:val="28"/>
          <w:vertAlign w:val="subscript"/>
        </w:rPr>
        <w:t>6</w:t>
      </w:r>
      <w:r>
        <w:rPr>
          <w:rFonts w:ascii="Times New Roman" w:hAnsi="Times New Roman" w:cs="Times New Roman"/>
          <w:sz w:val="28"/>
          <w:szCs w:val="28"/>
        </w:rPr>
        <w:t xml:space="preserve"> gas fully insulated ring network switchgear automation complete equipment technical conditions and testing technical specifications</w:t>
      </w:r>
    </w:p>
    <w:p w14:paraId="1534BF5D">
      <w:pPr>
        <w:jc w:val="center"/>
        <w:rPr>
          <w:rFonts w:ascii="Times New Roman" w:hAnsi="Times New Roman" w:cs="Times New Roman"/>
          <w:sz w:val="28"/>
          <w:szCs w:val="28"/>
        </w:rPr>
      </w:pPr>
    </w:p>
    <w:p w14:paraId="01B5E10A"/>
    <w:p w14:paraId="1950FC68"/>
    <w:p w14:paraId="461CF9FD">
      <w:r>
        <mc:AlternateContent>
          <mc:Choice Requires="wps">
            <w:drawing>
              <wp:anchor distT="0" distB="0" distL="114300" distR="114300" simplePos="0" relativeHeight="251660288" behindDoc="0" locked="1" layoutInCell="1" allowOverlap="1">
                <wp:simplePos x="0" y="0"/>
                <wp:positionH relativeFrom="column">
                  <wp:posOffset>38100</wp:posOffset>
                </wp:positionH>
                <wp:positionV relativeFrom="page">
                  <wp:posOffset>9132570</wp:posOffset>
                </wp:positionV>
                <wp:extent cx="5260975" cy="12065"/>
                <wp:effectExtent l="0" t="0" r="15875" b="6985"/>
                <wp:wrapNone/>
                <wp:docPr id="7" name="直接连接符 7"/>
                <wp:cNvGraphicFramePr/>
                <a:graphic xmlns:a="http://schemas.openxmlformats.org/drawingml/2006/main">
                  <a:graphicData uri="http://schemas.microsoft.com/office/word/2010/wordprocessingShape">
                    <wps:wsp>
                      <wps:cNvCnPr>
                        <a:cxnSpLocks noChangeShapeType="1"/>
                      </wps:cNvCnPr>
                      <wps:spPr bwMode="auto">
                        <a:xfrm>
                          <a:off x="0" y="0"/>
                          <a:ext cx="5260975" cy="12065"/>
                        </a:xfrm>
                        <a:prstGeom prst="line">
                          <a:avLst/>
                        </a:prstGeom>
                        <a:noFill/>
                        <a:ln w="9525">
                          <a:solidFill>
                            <a:srgbClr val="000000"/>
                          </a:solidFill>
                          <a:round/>
                        </a:ln>
                        <a:effectLst/>
                      </wps:spPr>
                      <wps:bodyPr/>
                    </wps:wsp>
                  </a:graphicData>
                </a:graphic>
              </wp:anchor>
            </w:drawing>
          </mc:Choice>
          <mc:Fallback>
            <w:pict>
              <v:line id="_x0000_s1026" o:spid="_x0000_s1026" o:spt="20" style="position:absolute;left:0pt;margin-left:3pt;margin-top:719.1pt;height:0.95pt;width:414.25pt;mso-position-vertical-relative:page;z-index:251660288;mso-width-relative:page;mso-height-relative:page;" filled="f" stroked="t" coordsize="21600,21600" o:gfxdata="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">
                <v:fill on="f" focussize="0,0"/>
                <v:stroke color="#000000" joinstyle="round"/>
                <v:imagedata o:title=""/>
                <o:lock v:ext="edit" aspectratio="f"/>
                <w10:anchorlock/>
              </v:line>
            </w:pict>
          </mc:Fallback>
        </mc:AlternateContent>
      </w:r>
    </w:p>
    <w:p w14:paraId="0BCA4A30">
      <w:pPr>
        <w:pStyle w:val="36"/>
        <w:framePr w:w="7800" w:h="487" w:hRule="exact" w:x="2076" w:y="14796"/>
        <w:ind w:left="-630" w:leftChars="-300" w:firstLine="631" w:firstLineChars="151"/>
        <w:rPr>
          <w:rFonts w:cs="Times New Roman"/>
        </w:rPr>
      </w:pPr>
      <w:r>
        <w:rPr>
          <w:rFonts w:hint="eastAsia"/>
        </w:rPr>
        <w:t>广东省电机工程</w:t>
      </w:r>
      <w:r>
        <w:rPr>
          <w:rFonts w:hint="eastAsia"/>
          <w:lang w:val="en-US" w:eastAsia="zh-CN"/>
        </w:rPr>
        <w:t>学</w:t>
      </w:r>
      <w:r>
        <w:rPr>
          <w:rFonts w:hint="eastAsia"/>
        </w:rPr>
        <w:t>会</w:t>
      </w:r>
      <w:r>
        <w:t xml:space="preserve">   </w:t>
      </w:r>
      <w:r>
        <w:rPr>
          <w:rFonts w:hint="eastAsia"/>
        </w:rPr>
        <w:t>发布</w:t>
      </w:r>
    </w:p>
    <w:p w14:paraId="1BDB1D56"/>
    <w:p w14:paraId="18D5D1B9"/>
    <w:p w14:paraId="31FED074"/>
    <w:p w14:paraId="7E1D4166"/>
    <w:p w14:paraId="0F431704"/>
    <w:p w14:paraId="41D7EB6F">
      <w:pPr>
        <w:pStyle w:val="2"/>
      </w:pPr>
    </w:p>
    <w:p w14:paraId="1570D90A"/>
    <w:p w14:paraId="041E8727"/>
    <w:p w14:paraId="1EA4C745"/>
    <w:p w14:paraId="4C06E5B3">
      <w:pPr>
        <w:ind w:firstLine="240" w:firstLineChars="100"/>
        <w:jc w:val="left"/>
        <w:rPr>
          <w:rFonts w:ascii="黑体" w:hAnsi="黑体" w:eastAsia="黑体" w:cs="黑体"/>
          <w:sz w:val="24"/>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r>
        <w:rPr>
          <w:rFonts w:hint="eastAsia" w:ascii="黑体" w:hAnsi="黑体" w:eastAsia="黑体" w:cs="黑体"/>
          <w:sz w:val="24"/>
          <w:lang w:val="en-US" w:eastAsia="zh-CN"/>
        </w:rPr>
        <w:t>XXXX</w:t>
      </w:r>
      <w:r>
        <w:rPr>
          <w:rFonts w:hint="eastAsia" w:ascii="黑体" w:hAnsi="黑体" w:eastAsia="黑体" w:cs="黑体"/>
          <w:sz w:val="24"/>
        </w:rPr>
        <w:t>-</w:t>
      </w:r>
      <w:r>
        <w:rPr>
          <w:rFonts w:hint="eastAsia" w:ascii="黑体" w:hAnsi="黑体" w:eastAsia="黑体" w:cs="黑体"/>
          <w:sz w:val="24"/>
          <w:lang w:val="en-US" w:eastAsia="zh-CN"/>
        </w:rPr>
        <w:t>XX</w:t>
      </w:r>
      <w:r>
        <w:rPr>
          <w:rFonts w:hint="eastAsia" w:ascii="黑体" w:hAnsi="黑体" w:eastAsia="黑体" w:cs="黑体"/>
          <w:sz w:val="24"/>
        </w:rPr>
        <w:t>-</w:t>
      </w:r>
      <w:r>
        <w:rPr>
          <w:rFonts w:hint="eastAsia" w:ascii="黑体" w:hAnsi="黑体" w:eastAsia="黑体" w:cs="黑体"/>
          <w:sz w:val="24"/>
          <w:lang w:val="en-US" w:eastAsia="zh-CN"/>
        </w:rPr>
        <w:t>XX</w:t>
      </w:r>
      <w:r>
        <w:rPr>
          <w:rFonts w:hint="eastAsia" w:ascii="黑体" w:hAnsi="黑体" w:eastAsia="黑体" w:cs="黑体"/>
          <w:sz w:val="24"/>
        </w:rPr>
        <w:t xml:space="preserve">  发布                                 </w:t>
      </w:r>
      <w:r>
        <w:rPr>
          <w:rFonts w:hint="eastAsia" w:ascii="黑体" w:hAnsi="黑体" w:eastAsia="黑体" w:cs="黑体"/>
          <w:sz w:val="24"/>
          <w:lang w:val="en-US" w:eastAsia="zh-CN"/>
        </w:rPr>
        <w:t>XXXX</w:t>
      </w:r>
      <w:r>
        <w:rPr>
          <w:rFonts w:hint="eastAsia" w:ascii="黑体" w:hAnsi="黑体" w:eastAsia="黑体" w:cs="黑体"/>
          <w:sz w:val="24"/>
        </w:rPr>
        <w:t>-</w:t>
      </w:r>
      <w:r>
        <w:rPr>
          <w:rFonts w:hint="eastAsia" w:ascii="黑体" w:hAnsi="黑体" w:eastAsia="黑体" w:cs="黑体"/>
          <w:sz w:val="24"/>
          <w:lang w:val="en-US" w:eastAsia="zh-CN"/>
        </w:rPr>
        <w:t>XX</w:t>
      </w:r>
      <w:r>
        <w:rPr>
          <w:rFonts w:hint="eastAsia" w:ascii="黑体" w:hAnsi="黑体" w:eastAsia="黑体" w:cs="黑体"/>
          <w:sz w:val="24"/>
        </w:rPr>
        <w:t>-</w:t>
      </w:r>
      <w:r>
        <w:rPr>
          <w:rFonts w:hint="eastAsia" w:ascii="黑体" w:hAnsi="黑体" w:eastAsia="黑体" w:cs="黑体"/>
          <w:sz w:val="24"/>
          <w:lang w:val="en-US" w:eastAsia="zh-CN"/>
        </w:rPr>
        <w:t xml:space="preserve">XX </w:t>
      </w:r>
      <w:bookmarkStart w:id="134" w:name="_GoBack"/>
      <w:bookmarkEnd w:id="134"/>
      <w:r>
        <w:rPr>
          <w:rFonts w:hint="eastAsia" w:ascii="黑体" w:hAnsi="黑体" w:eastAsia="黑体" w:cs="黑体"/>
          <w:sz w:val="24"/>
        </w:rPr>
        <w:t xml:space="preserve">  实施</w:t>
      </w:r>
    </w:p>
    <w:p w14:paraId="0ABB4CAE">
      <w:pPr>
        <w:pStyle w:val="58"/>
        <w:spacing w:before="480" w:after="480"/>
        <w:jc w:val="center"/>
        <w:rPr>
          <w:rFonts w:asciiTheme="minorHAnsi" w:hAnsiTheme="minorHAnsi" w:eastAsiaTheme="minorEastAsia" w:cstheme="minorBidi"/>
          <w:color w:val="auto"/>
          <w:kern w:val="2"/>
          <w:sz w:val="21"/>
          <w:szCs w:val="24"/>
          <w:lang w:val="zh-CN"/>
        </w:rPr>
        <w:sectPr>
          <w:footerReference r:id="rId11" w:type="first"/>
          <w:headerReference r:id="rId9" w:type="default"/>
          <w:footerReference r:id="rId10" w:type="default"/>
          <w:pgSz w:w="11906" w:h="16838"/>
          <w:pgMar w:top="1440" w:right="1800" w:bottom="1440" w:left="1800" w:header="851" w:footer="992" w:gutter="0"/>
          <w:pgNumType w:fmt="upperRoman" w:start="1"/>
          <w:cols w:space="425" w:num="1"/>
          <w:docGrid w:type="lines" w:linePitch="312" w:charSpace="0"/>
        </w:sectPr>
      </w:pPr>
    </w:p>
    <w:sdt>
      <w:sdtPr>
        <w:rPr>
          <w:rFonts w:asciiTheme="minorHAnsi" w:hAnsiTheme="minorHAnsi" w:eastAsiaTheme="minorEastAsia" w:cstheme="minorBidi"/>
          <w:color w:val="auto"/>
          <w:kern w:val="2"/>
          <w:sz w:val="21"/>
          <w:szCs w:val="24"/>
          <w:lang w:val="zh-CN"/>
        </w:rPr>
        <w:id w:val="2019267794"/>
        <w:docPartObj>
          <w:docPartGallery w:val="Table of Contents"/>
          <w:docPartUnique/>
        </w:docPartObj>
      </w:sdtPr>
      <w:sdtEndPr>
        <w:rPr>
          <w:rFonts w:asciiTheme="minorHAnsi" w:hAnsiTheme="minorHAnsi" w:eastAsiaTheme="minorEastAsia" w:cstheme="minorBidi"/>
          <w:b/>
          <w:bCs/>
          <w:color w:val="auto"/>
          <w:kern w:val="2"/>
          <w:sz w:val="21"/>
          <w:szCs w:val="24"/>
          <w:lang w:val="zh-CN"/>
        </w:rPr>
      </w:sdtEndPr>
      <w:sdtContent>
        <w:p w14:paraId="03143B3F">
          <w:pPr>
            <w:pStyle w:val="58"/>
            <w:spacing w:before="480" w:after="480"/>
            <w:jc w:val="center"/>
            <w:rPr>
              <w:rFonts w:ascii="黑体" w:hAnsi="黑体" w:eastAsia="黑体"/>
              <w:color w:val="auto"/>
            </w:rPr>
          </w:pPr>
          <w:r>
            <w:rPr>
              <w:rFonts w:hint="eastAsia" w:ascii="黑体" w:hAnsi="黑体" w:eastAsia="黑体"/>
              <w:color w:val="auto"/>
              <w:lang w:val="zh-CN"/>
            </w:rPr>
            <w:t xml:space="preserve">目 </w:t>
          </w:r>
          <w:r>
            <w:rPr>
              <w:rFonts w:ascii="黑体" w:hAnsi="黑体" w:eastAsia="黑体"/>
              <w:color w:val="auto"/>
              <w:lang w:val="zh-CN"/>
            </w:rPr>
            <w:t xml:space="preserve">  </w:t>
          </w:r>
          <w:r>
            <w:rPr>
              <w:rFonts w:hint="eastAsia" w:ascii="黑体" w:hAnsi="黑体" w:eastAsia="黑体"/>
              <w:color w:val="auto"/>
              <w:lang w:val="zh-CN"/>
            </w:rPr>
            <w:t>次</w:t>
          </w:r>
        </w:p>
        <w:p w14:paraId="1F1C61EC">
          <w:pPr>
            <w:pStyle w:val="17"/>
          </w:pPr>
          <w:r>
            <w:fldChar w:fldCharType="begin"/>
          </w:r>
          <w:r>
            <w:instrText xml:space="preserve"> TOC \o "1-3" \h \z \u </w:instrText>
          </w:r>
          <w:r>
            <w:fldChar w:fldCharType="separate"/>
          </w:r>
          <w:r>
            <w:fldChar w:fldCharType="begin"/>
          </w:r>
          <w:r>
            <w:instrText xml:space="preserve"> HYPERLINK \l "_Toc119492217" </w:instrText>
          </w:r>
          <w:r>
            <w:fldChar w:fldCharType="separate"/>
          </w:r>
          <w:r>
            <w:rPr>
              <w:rStyle w:val="31"/>
              <w:rFonts w:asciiTheme="majorEastAsia" w:hAnsiTheme="majorEastAsia" w:eastAsiaTheme="majorEastAsia"/>
              <w:sz w:val="18"/>
              <w:szCs w:val="18"/>
            </w:rPr>
            <w:t xml:space="preserve">前    言 </w:t>
          </w:r>
          <w:r>
            <w:tab/>
          </w:r>
          <w:r>
            <w:fldChar w:fldCharType="begin"/>
          </w:r>
          <w:r>
            <w:instrText xml:space="preserve"> PAGEREF _Toc119492217 \h </w:instrText>
          </w:r>
          <w:r>
            <w:fldChar w:fldCharType="separate"/>
          </w:r>
          <w:r>
            <w:t>II</w:t>
          </w:r>
          <w:r>
            <w:fldChar w:fldCharType="end"/>
          </w:r>
          <w:r>
            <w:fldChar w:fldCharType="end"/>
          </w:r>
        </w:p>
        <w:p w14:paraId="6AF44CDB">
          <w:pPr>
            <w:pStyle w:val="17"/>
          </w:pPr>
          <w:r>
            <w:fldChar w:fldCharType="begin"/>
          </w:r>
          <w:r>
            <w:instrText xml:space="preserve"> HYPERLINK \l "_Toc119492218" </w:instrText>
          </w:r>
          <w:r>
            <w:fldChar w:fldCharType="separate"/>
          </w:r>
          <w:r>
            <w:rPr>
              <w:rStyle w:val="31"/>
              <w:rFonts w:cs="Times New Roman" w:asciiTheme="majorEastAsia" w:hAnsiTheme="majorEastAsia" w:eastAsiaTheme="majorEastAsia"/>
              <w:sz w:val="18"/>
              <w:szCs w:val="18"/>
            </w:rPr>
            <w:t>1 范</w:t>
          </w:r>
          <w:r>
            <w:rPr>
              <w:rStyle w:val="31"/>
              <w:rFonts w:hint="eastAsia" w:cs="Times New Roman" w:asciiTheme="majorEastAsia" w:hAnsiTheme="majorEastAsia" w:eastAsiaTheme="majorEastAsia"/>
              <w:sz w:val="18"/>
              <w:szCs w:val="18"/>
            </w:rPr>
            <w:t xml:space="preserve"> </w:t>
          </w:r>
          <w:r>
            <w:rPr>
              <w:rStyle w:val="31"/>
              <w:rFonts w:cs="Times New Roman" w:asciiTheme="majorEastAsia" w:hAnsiTheme="majorEastAsia" w:eastAsiaTheme="majorEastAsia"/>
              <w:sz w:val="18"/>
              <w:szCs w:val="18"/>
            </w:rPr>
            <w:t xml:space="preserve"> 围</w:t>
          </w:r>
          <w:r>
            <w:tab/>
          </w:r>
          <w:r>
            <w:fldChar w:fldCharType="begin"/>
          </w:r>
          <w:r>
            <w:instrText xml:space="preserve"> PAGEREF _Toc119492218 \h </w:instrText>
          </w:r>
          <w:r>
            <w:fldChar w:fldCharType="separate"/>
          </w:r>
          <w:r>
            <w:t>1</w:t>
          </w:r>
          <w:r>
            <w:fldChar w:fldCharType="end"/>
          </w:r>
          <w:r>
            <w:fldChar w:fldCharType="end"/>
          </w:r>
        </w:p>
        <w:p w14:paraId="08704375">
          <w:pPr>
            <w:pStyle w:val="17"/>
          </w:pPr>
          <w:r>
            <w:fldChar w:fldCharType="begin"/>
          </w:r>
          <w:r>
            <w:instrText xml:space="preserve"> HYPERLINK \l "_Toc119492219" </w:instrText>
          </w:r>
          <w:r>
            <w:fldChar w:fldCharType="separate"/>
          </w:r>
          <w:r>
            <w:rPr>
              <w:rStyle w:val="31"/>
              <w:rFonts w:cs="Times New Roman" w:asciiTheme="majorEastAsia" w:hAnsiTheme="majorEastAsia" w:eastAsiaTheme="majorEastAsia"/>
              <w:sz w:val="18"/>
              <w:szCs w:val="18"/>
            </w:rPr>
            <w:t>2 规范性引用文件</w:t>
          </w:r>
          <w:r>
            <w:tab/>
          </w:r>
          <w:r>
            <w:fldChar w:fldCharType="begin"/>
          </w:r>
          <w:r>
            <w:instrText xml:space="preserve"> PAGEREF _Toc119492219 \h </w:instrText>
          </w:r>
          <w:r>
            <w:fldChar w:fldCharType="separate"/>
          </w:r>
          <w:r>
            <w:t>1</w:t>
          </w:r>
          <w:r>
            <w:fldChar w:fldCharType="end"/>
          </w:r>
          <w:r>
            <w:fldChar w:fldCharType="end"/>
          </w:r>
        </w:p>
        <w:p w14:paraId="1ED2D5CA">
          <w:pPr>
            <w:pStyle w:val="17"/>
          </w:pPr>
          <w:r>
            <w:fldChar w:fldCharType="begin"/>
          </w:r>
          <w:r>
            <w:instrText xml:space="preserve"> HYPERLINK \l "_Toc119492220" </w:instrText>
          </w:r>
          <w:r>
            <w:fldChar w:fldCharType="separate"/>
          </w:r>
          <w:r>
            <w:rPr>
              <w:rStyle w:val="31"/>
              <w:rFonts w:cs="Times New Roman" w:asciiTheme="majorEastAsia" w:hAnsiTheme="majorEastAsia" w:eastAsiaTheme="majorEastAsia"/>
              <w:sz w:val="18"/>
              <w:szCs w:val="18"/>
            </w:rPr>
            <w:t>3 术语和定义</w:t>
          </w:r>
          <w:r>
            <w:tab/>
          </w:r>
          <w:r>
            <w:fldChar w:fldCharType="begin"/>
          </w:r>
          <w:r>
            <w:instrText xml:space="preserve"> PAGEREF _Toc119492220 \h </w:instrText>
          </w:r>
          <w:r>
            <w:fldChar w:fldCharType="separate"/>
          </w:r>
          <w:r>
            <w:t>2</w:t>
          </w:r>
          <w:r>
            <w:fldChar w:fldCharType="end"/>
          </w:r>
          <w:r>
            <w:fldChar w:fldCharType="end"/>
          </w:r>
        </w:p>
        <w:p w14:paraId="348DFFC8">
          <w:pPr>
            <w:pStyle w:val="17"/>
          </w:pPr>
          <w:r>
            <w:fldChar w:fldCharType="begin"/>
          </w:r>
          <w:r>
            <w:instrText xml:space="preserve"> HYPERLINK \l "_Toc119492226" </w:instrText>
          </w:r>
          <w:r>
            <w:fldChar w:fldCharType="separate"/>
          </w:r>
          <w:r>
            <w:rPr>
              <w:rStyle w:val="31"/>
              <w:rFonts w:cs="Times New Roman" w:asciiTheme="majorEastAsia" w:hAnsiTheme="majorEastAsia" w:eastAsiaTheme="majorEastAsia"/>
              <w:sz w:val="18"/>
              <w:szCs w:val="18"/>
            </w:rPr>
            <w:t>4 使用条件</w:t>
          </w:r>
          <w:r>
            <w:tab/>
          </w:r>
          <w:r>
            <w:fldChar w:fldCharType="begin"/>
          </w:r>
          <w:r>
            <w:instrText xml:space="preserve"> PAGEREF _Toc119492226 \h </w:instrText>
          </w:r>
          <w:r>
            <w:fldChar w:fldCharType="separate"/>
          </w:r>
          <w:r>
            <w:t>3</w:t>
          </w:r>
          <w:r>
            <w:fldChar w:fldCharType="end"/>
          </w:r>
          <w:r>
            <w:fldChar w:fldCharType="end"/>
          </w:r>
        </w:p>
        <w:p w14:paraId="26587263">
          <w:pPr>
            <w:pStyle w:val="17"/>
          </w:pPr>
          <w:r>
            <w:fldChar w:fldCharType="begin"/>
          </w:r>
          <w:r>
            <w:instrText xml:space="preserve"> HYPERLINK \l "_Toc119492231" </w:instrText>
          </w:r>
          <w:r>
            <w:fldChar w:fldCharType="separate"/>
          </w:r>
          <w:r>
            <w:rPr>
              <w:rStyle w:val="31"/>
              <w:rFonts w:cs="Times New Roman" w:asciiTheme="majorEastAsia" w:hAnsiTheme="majorEastAsia" w:eastAsiaTheme="majorEastAsia"/>
              <w:sz w:val="18"/>
              <w:szCs w:val="18"/>
            </w:rPr>
            <w:t>5 额定值</w:t>
          </w:r>
          <w:r>
            <w:tab/>
          </w:r>
          <w:r>
            <w:fldChar w:fldCharType="begin"/>
          </w:r>
          <w:r>
            <w:instrText xml:space="preserve"> PAGEREF _Toc119492231 \h </w:instrText>
          </w:r>
          <w:r>
            <w:fldChar w:fldCharType="separate"/>
          </w:r>
          <w:r>
            <w:t>4</w:t>
          </w:r>
          <w:r>
            <w:fldChar w:fldCharType="end"/>
          </w:r>
          <w:r>
            <w:fldChar w:fldCharType="end"/>
          </w:r>
        </w:p>
        <w:p w14:paraId="74A8BE93">
          <w:pPr>
            <w:pStyle w:val="17"/>
          </w:pPr>
          <w:r>
            <w:fldChar w:fldCharType="begin"/>
          </w:r>
          <w:r>
            <w:instrText xml:space="preserve"> HYPERLINK \l "_Toc119492237" </w:instrText>
          </w:r>
          <w:r>
            <w:fldChar w:fldCharType="separate"/>
          </w:r>
          <w:r>
            <w:rPr>
              <w:rStyle w:val="31"/>
              <w:rFonts w:cs="Times New Roman" w:asciiTheme="majorEastAsia" w:hAnsiTheme="majorEastAsia" w:eastAsiaTheme="majorEastAsia"/>
              <w:sz w:val="18"/>
              <w:szCs w:val="18"/>
            </w:rPr>
            <w:t>6 技术要求</w:t>
          </w:r>
          <w:r>
            <w:tab/>
          </w:r>
          <w:r>
            <w:fldChar w:fldCharType="begin"/>
          </w:r>
          <w:r>
            <w:instrText xml:space="preserve"> PAGEREF _Toc119492237 \h </w:instrText>
          </w:r>
          <w:r>
            <w:fldChar w:fldCharType="separate"/>
          </w:r>
          <w:r>
            <w:t>5</w:t>
          </w:r>
          <w:r>
            <w:fldChar w:fldCharType="end"/>
          </w:r>
          <w:r>
            <w:fldChar w:fldCharType="end"/>
          </w:r>
        </w:p>
        <w:p w14:paraId="01BA93CC">
          <w:pPr>
            <w:pStyle w:val="17"/>
          </w:pPr>
          <w:r>
            <w:fldChar w:fldCharType="begin"/>
          </w:r>
          <w:r>
            <w:instrText xml:space="preserve"> HYPERLINK \l "_Toc119492270" </w:instrText>
          </w:r>
          <w:r>
            <w:fldChar w:fldCharType="separate"/>
          </w:r>
          <w:r>
            <w:rPr>
              <w:rStyle w:val="31"/>
              <w:rFonts w:cs="Times New Roman" w:asciiTheme="majorEastAsia" w:hAnsiTheme="majorEastAsia" w:eastAsiaTheme="majorEastAsia"/>
              <w:kern w:val="44"/>
              <w:sz w:val="18"/>
              <w:szCs w:val="18"/>
            </w:rPr>
            <w:t>7 试验要求及方法</w:t>
          </w:r>
          <w:r>
            <w:tab/>
          </w:r>
          <w:r>
            <w:fldChar w:fldCharType="begin"/>
          </w:r>
          <w:r>
            <w:instrText xml:space="preserve"> PAGEREF _Toc119492270 \h </w:instrText>
          </w:r>
          <w:r>
            <w:fldChar w:fldCharType="separate"/>
          </w:r>
          <w:r>
            <w:t>12</w:t>
          </w:r>
          <w:r>
            <w:fldChar w:fldCharType="end"/>
          </w:r>
          <w:r>
            <w:fldChar w:fldCharType="end"/>
          </w:r>
        </w:p>
        <w:p w14:paraId="73AFE57F">
          <w:pPr>
            <w:pStyle w:val="17"/>
          </w:pPr>
          <w:r>
            <w:fldChar w:fldCharType="begin"/>
          </w:r>
          <w:r>
            <w:instrText xml:space="preserve"> HYPERLINK \l "_Toc119492309" </w:instrText>
          </w:r>
          <w:r>
            <w:fldChar w:fldCharType="separate"/>
          </w:r>
          <w:r>
            <w:rPr>
              <w:rStyle w:val="31"/>
              <w:rFonts w:asciiTheme="majorEastAsia" w:hAnsiTheme="majorEastAsia" w:eastAsiaTheme="majorEastAsia"/>
              <w:sz w:val="18"/>
              <w:szCs w:val="18"/>
            </w:rPr>
            <w:t>8试验分类</w:t>
          </w:r>
          <w:r>
            <w:tab/>
          </w:r>
          <w:r>
            <w:rPr>
              <w:rFonts w:hint="eastAsia"/>
              <w:lang w:val="en-US" w:eastAsia="zh-CN"/>
            </w:rPr>
            <w:t>......16</w:t>
          </w:r>
          <w:r>
            <w:fldChar w:fldCharType="end"/>
          </w:r>
        </w:p>
        <w:p w14:paraId="3B3E7664">
          <w:pPr>
            <w:pStyle w:val="17"/>
            <w:rPr>
              <w:szCs w:val="22"/>
            </w:rPr>
          </w:pPr>
          <w:r>
            <w:fldChar w:fldCharType="begin"/>
          </w:r>
          <w:r>
            <w:instrText xml:space="preserve"> HYPERLINK \l "_Toc119492317" </w:instrText>
          </w:r>
          <w:r>
            <w:fldChar w:fldCharType="separate"/>
          </w:r>
          <w:r>
            <w:rPr>
              <w:rStyle w:val="31"/>
              <w:rFonts w:cs="Times New Roman" w:asciiTheme="majorEastAsia" w:hAnsiTheme="majorEastAsia" w:eastAsiaTheme="majorEastAsia"/>
              <w:sz w:val="18"/>
              <w:szCs w:val="18"/>
              <w:lang w:val="zh-CN"/>
            </w:rPr>
            <w:t>9 包装、 运输、 安装、 存储及维护要求</w:t>
          </w:r>
          <w:r>
            <w:tab/>
          </w:r>
          <w:r>
            <w:fldChar w:fldCharType="begin"/>
          </w:r>
          <w:r>
            <w:instrText xml:space="preserve"> PAGEREF _Toc119492317 \h </w:instrText>
          </w:r>
          <w:r>
            <w:fldChar w:fldCharType="separate"/>
          </w:r>
          <w:r>
            <w:t>17</w:t>
          </w:r>
          <w:r>
            <w:fldChar w:fldCharType="end"/>
          </w:r>
          <w:r>
            <w:fldChar w:fldCharType="end"/>
          </w:r>
        </w:p>
        <w:p w14:paraId="3B1615FE">
          <w:r>
            <w:rPr>
              <w:b/>
              <w:bCs/>
              <w:lang w:val="zh-CN"/>
            </w:rPr>
            <w:fldChar w:fldCharType="end"/>
          </w:r>
        </w:p>
      </w:sdtContent>
    </w:sdt>
    <w:p w14:paraId="26EE146D">
      <w:pPr>
        <w:rPr>
          <w:rFonts w:ascii="黑体" w:hAnsi="黑体" w:eastAsia="黑体" w:cs="黑体"/>
          <w:szCs w:val="21"/>
        </w:rPr>
        <w:sectPr>
          <w:pgSz w:w="11906" w:h="16838"/>
          <w:pgMar w:top="1440" w:right="1800" w:bottom="1440" w:left="1800" w:header="851" w:footer="992" w:gutter="0"/>
          <w:pgNumType w:fmt="upperRoman" w:start="1"/>
          <w:cols w:space="425" w:num="1"/>
          <w:docGrid w:type="lines" w:linePitch="312" w:charSpace="0"/>
        </w:sectPr>
      </w:pPr>
    </w:p>
    <w:p w14:paraId="541A8BE6">
      <w:pPr>
        <w:pStyle w:val="61"/>
        <w:rPr>
          <w:rFonts w:hAnsi="黑体" w:cs="黑体"/>
          <w:b w:val="0"/>
          <w:color w:val="000000"/>
          <w:szCs w:val="32"/>
        </w:rPr>
      </w:pPr>
      <w:bookmarkStart w:id="0" w:name="_Toc119492217"/>
      <w:bookmarkStart w:id="1" w:name="_Toc119488990"/>
      <w:bookmarkStart w:id="2" w:name="_Toc119491173"/>
      <w:r>
        <w:rPr>
          <w:rFonts w:hint="eastAsia" w:hAnsi="黑体" w:cs="黑体"/>
          <w:b w:val="0"/>
          <w:color w:val="000000"/>
          <w:szCs w:val="32"/>
        </w:rPr>
        <w:t>前</w:t>
      </w:r>
      <w:r>
        <w:rPr>
          <w:rFonts w:hAnsi="黑体" w:cs="黑体"/>
          <w:b w:val="0"/>
          <w:color w:val="000000"/>
          <w:szCs w:val="32"/>
        </w:rPr>
        <w:t xml:space="preserve">    </w:t>
      </w:r>
      <w:r>
        <w:rPr>
          <w:rFonts w:hint="eastAsia" w:hAnsi="黑体" w:cs="黑体"/>
          <w:b w:val="0"/>
          <w:color w:val="000000"/>
          <w:szCs w:val="32"/>
        </w:rPr>
        <w:t xml:space="preserve">言 </w:t>
      </w:r>
      <w:bookmarkEnd w:id="0"/>
      <w:bookmarkEnd w:id="1"/>
      <w:bookmarkEnd w:id="2"/>
    </w:p>
    <w:p w14:paraId="4B6C049A">
      <w:pPr>
        <w:spacing w:line="360" w:lineRule="auto"/>
        <w:ind w:firstLine="420"/>
        <w:rPr>
          <w:rFonts w:ascii="Times New Roman" w:hAnsi="Times New Roman" w:eastAsia="宋体" w:cs="Times New Roman"/>
          <w:szCs w:val="21"/>
        </w:rPr>
      </w:pPr>
      <w:r>
        <w:rPr>
          <w:rFonts w:ascii="Times New Roman" w:hAnsi="Times New Roman" w:eastAsia="宋体" w:cs="Times New Roman"/>
          <w:szCs w:val="21"/>
        </w:rPr>
        <w:t>本规范按照GB/T 1.1给出的规则起草。</w:t>
      </w:r>
    </w:p>
    <w:p w14:paraId="500FDDEC">
      <w:pPr>
        <w:spacing w:line="360" w:lineRule="auto"/>
        <w:ind w:firstLine="420"/>
        <w:rPr>
          <w:rFonts w:ascii="Times New Roman" w:hAnsi="Times New Roman" w:eastAsia="宋体" w:cs="Times New Roman"/>
          <w:szCs w:val="21"/>
        </w:rPr>
      </w:pPr>
      <w:r>
        <w:rPr>
          <w:rFonts w:ascii="Times New Roman" w:hAnsi="Times New Roman" w:eastAsia="宋体" w:cs="Times New Roman"/>
          <w:szCs w:val="21"/>
        </w:rPr>
        <w:t>本规范的某些内容可能涉及专利。本规范的发布机构不承担识别专利的责任。</w:t>
      </w:r>
    </w:p>
    <w:p w14:paraId="6855786F">
      <w:pPr>
        <w:spacing w:line="360" w:lineRule="auto"/>
        <w:ind w:firstLine="420"/>
        <w:rPr>
          <w:rFonts w:ascii="Times New Roman" w:hAnsi="Times New Roman" w:eastAsia="宋体" w:cs="Times New Roman"/>
          <w:szCs w:val="21"/>
        </w:rPr>
      </w:pPr>
      <w:r>
        <w:rPr>
          <w:rFonts w:ascii="Times New Roman" w:hAnsi="Times New Roman" w:eastAsia="宋体" w:cs="Times New Roman"/>
          <w:szCs w:val="21"/>
        </w:rPr>
        <w:t>本标准由广东电网责任有限公司广州供电局提出并解释。</w:t>
      </w:r>
    </w:p>
    <w:p w14:paraId="44AF79A0">
      <w:pPr>
        <w:spacing w:line="360" w:lineRule="auto"/>
        <w:ind w:firstLine="420"/>
        <w:rPr>
          <w:rFonts w:ascii="Times New Roman" w:hAnsi="Times New Roman" w:eastAsia="宋体" w:cs="Times New Roman"/>
          <w:szCs w:val="21"/>
        </w:rPr>
      </w:pPr>
      <w:r>
        <w:rPr>
          <w:rFonts w:ascii="Times New Roman" w:hAnsi="Times New Roman" w:eastAsia="宋体" w:cs="Times New Roman"/>
          <w:szCs w:val="21"/>
        </w:rPr>
        <w:t>本标准由广东省电机工程学会归口。</w:t>
      </w:r>
    </w:p>
    <w:p w14:paraId="50D84337">
      <w:pPr>
        <w:spacing w:line="360" w:lineRule="auto"/>
        <w:ind w:firstLine="420"/>
        <w:rPr>
          <w:rFonts w:ascii="Times New Roman" w:hAnsi="Times New Roman" w:eastAsia="宋体" w:cs="Times New Roman"/>
          <w:color w:val="000000"/>
          <w:szCs w:val="21"/>
          <w:highlight w:val="magenta"/>
        </w:rPr>
      </w:pPr>
      <w:r>
        <w:rPr>
          <w:rFonts w:ascii="Times New Roman" w:hAnsi="Times New Roman" w:eastAsia="宋体" w:cs="Times New Roman"/>
          <w:color w:val="000000"/>
          <w:szCs w:val="21"/>
        </w:rPr>
        <w:t>本标准起草单位：广东电网有限</w:t>
      </w:r>
      <w:r>
        <w:rPr>
          <w:rFonts w:hint="eastAsia" w:ascii="Times New Roman" w:hAnsi="Times New Roman" w:eastAsia="宋体" w:cs="Times New Roman"/>
          <w:color w:val="000000"/>
          <w:szCs w:val="21"/>
        </w:rPr>
        <w:t>责任</w:t>
      </w:r>
      <w:r>
        <w:rPr>
          <w:rFonts w:ascii="Times New Roman" w:hAnsi="Times New Roman" w:eastAsia="宋体" w:cs="Times New Roman"/>
          <w:color w:val="000000"/>
          <w:szCs w:val="21"/>
        </w:rPr>
        <w:t>公司广州供电局、</w:t>
      </w:r>
      <w:r>
        <w:rPr>
          <w:rFonts w:hint="eastAsia" w:ascii="Times New Roman" w:hAnsi="Times New Roman" w:eastAsia="宋体" w:cs="Times New Roman"/>
          <w:color w:val="000000"/>
          <w:szCs w:val="21"/>
        </w:rPr>
        <w:t>广州南方电力集团电气技术有限公司、苏州科陆东自电气有限公司、珠海许继电气有限公司、北京双杰电气股份有限公司、广东白云电器设备股份有限公司、北京科锐配电自动化股份有限公司、广东正超电气有限公司、珠海万力达电气自动化有限公司、陕西公众智能科技有限公司、四川瑞霆智汇科技有限公司、南京电研电力自动化股份有限公司、江苏亚开电气有限公司、江苏宏达电气有限公司</w:t>
      </w:r>
      <w:r>
        <w:rPr>
          <w:rFonts w:hint="eastAsia" w:ascii="Times New Roman" w:hAnsi="Times New Roman" w:eastAsia="宋体" w:cs="Times New Roman"/>
          <w:color w:val="000000"/>
          <w:szCs w:val="21"/>
          <w:lang w:eastAsia="zh-CN"/>
        </w:rPr>
        <w:t>、</w:t>
      </w:r>
      <w:r>
        <w:rPr>
          <w:rFonts w:hint="eastAsia" w:ascii="Times New Roman" w:hAnsi="Times New Roman" w:eastAsia="宋体" w:cs="Times New Roman"/>
          <w:color w:val="000000"/>
          <w:szCs w:val="21"/>
        </w:rPr>
        <w:t>广州羊城电气设备有限公司。</w:t>
      </w:r>
    </w:p>
    <w:p w14:paraId="67B0A57F">
      <w:pPr>
        <w:spacing w:line="360" w:lineRule="auto"/>
        <w:ind w:firstLine="420"/>
        <w:rPr>
          <w:rFonts w:ascii="Times New Roman" w:hAnsi="Times New Roman" w:eastAsia="宋体" w:cs="Times New Roman"/>
          <w:szCs w:val="21"/>
          <w:highlight w:val="none"/>
        </w:rPr>
      </w:pPr>
      <w:r>
        <w:rPr>
          <w:rFonts w:ascii="Times New Roman" w:hAnsi="Times New Roman" w:eastAsia="宋体" w:cs="Times New Roman"/>
          <w:color w:val="000000"/>
          <w:szCs w:val="21"/>
          <w:highlight w:val="none"/>
        </w:rPr>
        <w:t>本标准起草人：</w:t>
      </w:r>
      <w:r>
        <w:rPr>
          <w:rFonts w:hint="eastAsia" w:ascii="Times New Roman" w:hAnsi="Times New Roman" w:eastAsia="宋体" w:cs="Times New Roman"/>
          <w:color w:val="000000"/>
          <w:szCs w:val="21"/>
          <w:highlight w:val="none"/>
        </w:rPr>
        <w:t>张子翀、张小华、李徽胜、曾松涛、王毅、冯庆燎、</w:t>
      </w:r>
      <w:r>
        <w:rPr>
          <w:rFonts w:hint="eastAsia" w:ascii="Times New Roman" w:hAnsi="Times New Roman" w:eastAsia="宋体" w:cs="Times New Roman"/>
          <w:color w:val="000000"/>
          <w:szCs w:val="21"/>
          <w:highlight w:val="none"/>
          <w:lang w:val="en-US" w:eastAsia="zh-CN"/>
        </w:rPr>
        <w:t>李跃、</w:t>
      </w:r>
      <w:r>
        <w:rPr>
          <w:rFonts w:hint="eastAsia" w:ascii="Times New Roman" w:hAnsi="Times New Roman" w:eastAsia="宋体" w:cs="Times New Roman"/>
          <w:color w:val="000000"/>
          <w:szCs w:val="21"/>
          <w:highlight w:val="none"/>
        </w:rPr>
        <w:t>谢桂和、罗惠雄、朱灿明、周智鹏、彭圣尧、</w:t>
      </w:r>
      <w:r>
        <w:rPr>
          <w:rFonts w:hint="eastAsia" w:ascii="Times New Roman" w:hAnsi="Times New Roman" w:eastAsia="宋体" w:cs="Times New Roman"/>
          <w:color w:val="000000"/>
          <w:szCs w:val="21"/>
          <w:highlight w:val="none"/>
          <w:lang w:val="en-US" w:eastAsia="zh-CN"/>
        </w:rPr>
        <w:t>李跃、</w:t>
      </w:r>
      <w:r>
        <w:rPr>
          <w:rFonts w:hint="eastAsia" w:ascii="Times New Roman" w:hAnsi="Times New Roman" w:eastAsia="宋体" w:cs="Times New Roman"/>
          <w:color w:val="000000"/>
          <w:szCs w:val="21"/>
          <w:highlight w:val="none"/>
        </w:rPr>
        <w:t>刘佳、党卫军、彭和平、童锐、吴任博、钟锦汉、杨冉、詹植振、周斌、秦向阳、孙龙、许中、汤海峰、徐杰、高明、王战敏、吴启泳、林蔚、巫耀光、</w:t>
      </w:r>
      <w:r>
        <w:rPr>
          <w:rFonts w:hint="eastAsia" w:ascii="Times New Roman" w:hAnsi="Times New Roman" w:eastAsia="宋体" w:cs="Times New Roman"/>
          <w:color w:val="000000"/>
          <w:szCs w:val="21"/>
          <w:highlight w:val="none"/>
          <w:lang w:val="en-US" w:eastAsia="zh-CN"/>
        </w:rPr>
        <w:t>隋宏、</w:t>
      </w:r>
      <w:r>
        <w:rPr>
          <w:rFonts w:hint="eastAsia" w:ascii="Times New Roman" w:hAnsi="Times New Roman" w:eastAsia="宋体" w:cs="Times New Roman"/>
          <w:color w:val="000000"/>
          <w:szCs w:val="21"/>
          <w:highlight w:val="none"/>
        </w:rPr>
        <w:t>钏星、齐强、梁红军、刘明昊、黄新宇、吴金龙</w:t>
      </w:r>
      <w:r>
        <w:rPr>
          <w:rFonts w:hint="eastAsia" w:ascii="Times New Roman" w:hAnsi="Times New Roman" w:eastAsia="宋体" w:cs="Times New Roman"/>
          <w:color w:val="000000"/>
          <w:szCs w:val="21"/>
          <w:highlight w:val="none"/>
          <w:lang w:eastAsia="zh-CN"/>
        </w:rPr>
        <w:t>、</w:t>
      </w:r>
      <w:r>
        <w:rPr>
          <w:rFonts w:hint="eastAsia" w:ascii="Times New Roman" w:hAnsi="Times New Roman" w:eastAsia="宋体" w:cs="Times New Roman"/>
          <w:color w:val="000000"/>
          <w:szCs w:val="21"/>
          <w:highlight w:val="none"/>
          <w:lang w:val="en-US" w:eastAsia="zh-CN"/>
        </w:rPr>
        <w:t>张显聪</w:t>
      </w:r>
      <w:r>
        <w:rPr>
          <w:rFonts w:hint="eastAsia" w:ascii="Times New Roman" w:hAnsi="Times New Roman" w:eastAsia="宋体" w:cs="Times New Roman"/>
          <w:color w:val="000000"/>
          <w:szCs w:val="21"/>
          <w:highlight w:val="none"/>
        </w:rPr>
        <w:t>。</w:t>
      </w:r>
    </w:p>
    <w:p w14:paraId="73A4E2D0">
      <w:pPr>
        <w:spacing w:line="360" w:lineRule="auto"/>
        <w:ind w:firstLine="420"/>
        <w:rPr>
          <w:rFonts w:ascii="Times New Roman" w:hAnsi="Times New Roman" w:eastAsia="宋体" w:cs="Times New Roman"/>
          <w:szCs w:val="21"/>
        </w:rPr>
      </w:pPr>
      <w:r>
        <w:rPr>
          <w:rFonts w:ascii="Times New Roman" w:hAnsi="Times New Roman" w:eastAsia="宋体" w:cs="Times New Roman"/>
          <w:szCs w:val="21"/>
        </w:rPr>
        <w:t>本标准首次发布</w:t>
      </w:r>
      <w:r>
        <w:rPr>
          <w:rFonts w:hint="eastAsia" w:ascii="Times New Roman" w:hAnsi="Times New Roman" w:eastAsia="宋体" w:cs="Times New Roman"/>
          <w:szCs w:val="21"/>
        </w:rPr>
        <w:t>。</w:t>
      </w:r>
    </w:p>
    <w:p w14:paraId="43E5CC28">
      <w:pPr>
        <w:tabs>
          <w:tab w:val="center" w:pos="4153"/>
        </w:tabs>
        <w:spacing w:line="360" w:lineRule="auto"/>
        <w:rPr>
          <w:rFonts w:ascii="Times New Roman" w:hAnsi="Times New Roman" w:eastAsia="宋体" w:cs="Times New Roman"/>
          <w:color w:val="000000"/>
          <w:kern w:val="0"/>
          <w:szCs w:val="21"/>
        </w:rPr>
        <w:sectPr>
          <w:footerReference r:id="rId12" w:type="first"/>
          <w:pgSz w:w="11906" w:h="16838"/>
          <w:pgMar w:top="1440" w:right="1800" w:bottom="1440" w:left="1800" w:header="851" w:footer="992" w:gutter="0"/>
          <w:pgNumType w:fmt="upperRoman"/>
          <w:cols w:space="425" w:num="1"/>
          <w:titlePg/>
          <w:docGrid w:type="lines" w:linePitch="312" w:charSpace="0"/>
        </w:sectPr>
      </w:pPr>
    </w:p>
    <w:p w14:paraId="4EE295F6">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SF</w:t>
      </w:r>
      <w:r>
        <w:rPr>
          <w:rFonts w:hint="eastAsia" w:ascii="黑体" w:hAnsi="黑体" w:eastAsia="黑体" w:cs="Times New Roman"/>
          <w:sz w:val="32"/>
          <w:szCs w:val="32"/>
          <w:vertAlign w:val="subscript"/>
        </w:rPr>
        <w:t>6</w:t>
      </w:r>
      <w:r>
        <w:rPr>
          <w:rFonts w:hint="eastAsia" w:ascii="黑体" w:hAnsi="黑体" w:eastAsia="黑体" w:cs="Times New Roman"/>
          <w:sz w:val="32"/>
          <w:szCs w:val="32"/>
        </w:rPr>
        <w:t>气体全绝缘环网开关柜自动化成套设备</w:t>
      </w:r>
    </w:p>
    <w:p w14:paraId="6541D090">
      <w:pPr>
        <w:spacing w:line="360" w:lineRule="auto"/>
        <w:jc w:val="center"/>
        <w:rPr>
          <w:rFonts w:ascii="黑体" w:hAnsi="黑体" w:eastAsia="黑体" w:cs="Times New Roman"/>
          <w:sz w:val="32"/>
          <w:szCs w:val="32"/>
        </w:rPr>
      </w:pPr>
      <w:r>
        <w:rPr>
          <w:rFonts w:hint="eastAsia" w:ascii="黑体" w:hAnsi="黑体" w:eastAsia="黑体" w:cs="Times New Roman"/>
          <w:sz w:val="32"/>
          <w:szCs w:val="32"/>
        </w:rPr>
        <w:t>技术条件及检测技术规范</w:t>
      </w:r>
    </w:p>
    <w:p w14:paraId="153D4D85">
      <w:pPr>
        <w:pStyle w:val="4"/>
        <w:spacing w:before="0" w:after="0" w:line="360" w:lineRule="auto"/>
        <w:rPr>
          <w:rFonts w:ascii="黑体" w:hAnsi="黑体" w:eastAsia="黑体" w:cs="Times New Roman"/>
          <w:b w:val="0"/>
          <w:color w:val="000000"/>
          <w:sz w:val="21"/>
          <w:szCs w:val="20"/>
        </w:rPr>
      </w:pPr>
      <w:bookmarkStart w:id="3" w:name="_Toc119491174"/>
      <w:bookmarkStart w:id="4" w:name="_Toc119492218"/>
      <w:bookmarkStart w:id="5" w:name="_Toc119488991"/>
      <w:r>
        <w:rPr>
          <w:rFonts w:hint="eastAsia" w:ascii="黑体" w:hAnsi="黑体" w:eastAsia="黑体" w:cs="Times New Roman"/>
          <w:b w:val="0"/>
          <w:color w:val="000000"/>
          <w:sz w:val="21"/>
          <w:szCs w:val="20"/>
        </w:rPr>
        <w:t xml:space="preserve">1 范围   </w:t>
      </w:r>
      <w:bookmarkEnd w:id="3"/>
      <w:bookmarkEnd w:id="4"/>
      <w:bookmarkEnd w:id="5"/>
    </w:p>
    <w:p w14:paraId="6C4F831D">
      <w:pPr>
        <w:adjustRightInd w:val="0"/>
        <w:ind w:firstLine="420" w:firstLineChars="200"/>
        <w:rPr>
          <w:rFonts w:ascii="宋体" w:cs="宋体"/>
          <w:color w:val="000000"/>
          <w:kern w:val="0"/>
          <w:szCs w:val="21"/>
        </w:rPr>
      </w:pPr>
      <w:r>
        <w:rPr>
          <w:rFonts w:hint="eastAsia" w:ascii="宋体" w:cs="宋体"/>
          <w:color w:val="000000"/>
          <w:kern w:val="0"/>
          <w:szCs w:val="21"/>
        </w:rPr>
        <w:t>本标准规范了 SF</w:t>
      </w:r>
      <w:r>
        <w:rPr>
          <w:rFonts w:hint="eastAsia" w:ascii="宋体" w:cs="宋体"/>
          <w:color w:val="000000"/>
          <w:kern w:val="0"/>
          <w:szCs w:val="21"/>
          <w:vertAlign w:val="subscript"/>
        </w:rPr>
        <w:t>6</w:t>
      </w:r>
      <w:r>
        <w:rPr>
          <w:rFonts w:hint="eastAsia" w:ascii="宋体" w:cs="宋体"/>
          <w:color w:val="000000"/>
          <w:kern w:val="0"/>
          <w:szCs w:val="21"/>
        </w:rPr>
        <w:t>气体全绝缘环网开关柜自动化成套设备的定义、使用条件、技术要求、性能、试验种类及项目、试验方法、包装运输、安装、储存及维护要求。</w:t>
      </w:r>
    </w:p>
    <w:p w14:paraId="1E2A8983">
      <w:pPr>
        <w:adjustRightInd w:val="0"/>
        <w:ind w:firstLine="420" w:firstLineChars="200"/>
        <w:rPr>
          <w:rFonts w:ascii="宋体" w:cs="宋体"/>
          <w:color w:val="000000"/>
          <w:kern w:val="0"/>
          <w:szCs w:val="21"/>
        </w:rPr>
      </w:pPr>
      <w:r>
        <w:rPr>
          <w:rFonts w:hint="eastAsia" w:ascii="宋体" w:cs="宋体"/>
          <w:color w:val="000000"/>
          <w:kern w:val="0"/>
          <w:szCs w:val="21"/>
        </w:rPr>
        <w:t>本标准适用于SF</w:t>
      </w:r>
      <w:r>
        <w:rPr>
          <w:rFonts w:hint="eastAsia" w:ascii="宋体" w:cs="宋体"/>
          <w:color w:val="000000"/>
          <w:kern w:val="0"/>
          <w:szCs w:val="21"/>
          <w:vertAlign w:val="subscript"/>
        </w:rPr>
        <w:t>6</w:t>
      </w:r>
      <w:r>
        <w:rPr>
          <w:rFonts w:hint="eastAsia" w:ascii="宋体" w:cs="宋体"/>
          <w:color w:val="000000"/>
          <w:kern w:val="0"/>
          <w:szCs w:val="21"/>
        </w:rPr>
        <w:t>气体全绝缘环网开关柜自动化成套设备、SF</w:t>
      </w:r>
      <w:r>
        <w:rPr>
          <w:rFonts w:hint="eastAsia" w:ascii="宋体" w:cs="宋体"/>
          <w:color w:val="000000"/>
          <w:kern w:val="0"/>
          <w:szCs w:val="21"/>
          <w:vertAlign w:val="subscript"/>
        </w:rPr>
        <w:t>6</w:t>
      </w:r>
      <w:r>
        <w:rPr>
          <w:rFonts w:hint="eastAsia" w:ascii="宋体" w:cs="宋体"/>
          <w:color w:val="000000"/>
          <w:kern w:val="0"/>
          <w:szCs w:val="21"/>
        </w:rPr>
        <w:t>气体全绝缘环网开关箱的设计与选型。</w:t>
      </w:r>
    </w:p>
    <w:p w14:paraId="6BA46F3C">
      <w:pPr>
        <w:pStyle w:val="4"/>
        <w:spacing w:before="0" w:after="0" w:line="360" w:lineRule="auto"/>
        <w:rPr>
          <w:rFonts w:hint="eastAsia" w:ascii="黑体" w:hAnsi="黑体" w:eastAsia="黑体" w:cs="Times New Roman"/>
          <w:b w:val="0"/>
          <w:color w:val="000000"/>
          <w:sz w:val="21"/>
          <w:szCs w:val="20"/>
        </w:rPr>
      </w:pPr>
      <w:bookmarkStart w:id="6" w:name="_Toc119491175"/>
      <w:bookmarkStart w:id="7" w:name="_Toc119488992"/>
      <w:bookmarkStart w:id="8" w:name="_Toc119492219"/>
      <w:r>
        <w:rPr>
          <w:rFonts w:hint="eastAsia" w:ascii="黑体" w:hAnsi="黑体" w:eastAsia="黑体" w:cs="Times New Roman"/>
          <w:b w:val="0"/>
          <w:color w:val="000000"/>
          <w:sz w:val="21"/>
          <w:szCs w:val="20"/>
        </w:rPr>
        <w:t xml:space="preserve">2 规范性引用文件  </w:t>
      </w:r>
      <w:bookmarkEnd w:id="6"/>
      <w:bookmarkEnd w:id="7"/>
      <w:bookmarkEnd w:id="8"/>
    </w:p>
    <w:p w14:paraId="65817A7A">
      <w:pPr>
        <w:autoSpaceDE w:val="0"/>
        <w:autoSpaceDN w:val="0"/>
        <w:adjustRightInd w:val="0"/>
        <w:ind w:firstLine="420" w:firstLineChars="200"/>
        <w:rPr>
          <w:rFonts w:ascii="Times New Roman" w:hAnsi="Times New Roman" w:eastAsia="宋体" w:cs="Times New Roman"/>
          <w:color w:val="000000"/>
          <w:kern w:val="0"/>
          <w:szCs w:val="21"/>
        </w:rPr>
      </w:pPr>
      <w:r>
        <w:rPr>
          <w:rFonts w:ascii="Times New Roman" w:hAnsi="Times New Roman" w:eastAsia="宋体" w:cs="Times New Roman"/>
          <w:color w:val="000000"/>
          <w:kern w:val="0"/>
          <w:szCs w:val="21"/>
        </w:rPr>
        <w:t>下列文件对于本文件的应用是必不可少。凡是注日期的引用文件，仅在注日期的版本适用于本文件。凡是不注明日期的引用文件，其最新版本适用于本文件。</w:t>
      </w:r>
    </w:p>
    <w:p w14:paraId="4EFA4B22">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 xml:space="preserve">GB 20840.1     </w:t>
      </w:r>
      <w:r>
        <w:rPr>
          <w:rFonts w:hint="eastAsia" w:ascii="宋体" w:hAnsi="宋体" w:eastAsia="宋体" w:cs="宋体"/>
          <w:kern w:val="0"/>
          <w:szCs w:val="22"/>
          <w:lang w:val="en-US" w:eastAsia="zh-CN"/>
        </w:rPr>
        <w:t xml:space="preserve"> </w:t>
      </w:r>
      <w:r>
        <w:rPr>
          <w:rFonts w:hint="eastAsia" w:ascii="宋体" w:hAnsi="宋体" w:eastAsia="宋体" w:cs="宋体"/>
          <w:kern w:val="0"/>
          <w:szCs w:val="22"/>
        </w:rPr>
        <w:t>互感器  第1部分：通用技术要求</w:t>
      </w:r>
    </w:p>
    <w:p w14:paraId="6C531821">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 xml:space="preserve">GB 20840.2     </w:t>
      </w:r>
      <w:r>
        <w:rPr>
          <w:rFonts w:hint="eastAsia" w:ascii="宋体" w:hAnsi="宋体" w:eastAsia="宋体" w:cs="宋体"/>
          <w:kern w:val="0"/>
          <w:szCs w:val="22"/>
          <w:lang w:val="en-US" w:eastAsia="zh-CN"/>
        </w:rPr>
        <w:t xml:space="preserve"> </w:t>
      </w:r>
      <w:r>
        <w:rPr>
          <w:rFonts w:hint="eastAsia" w:ascii="宋体" w:hAnsi="宋体" w:eastAsia="宋体" w:cs="宋体"/>
          <w:kern w:val="0"/>
          <w:szCs w:val="22"/>
        </w:rPr>
        <w:t>互感器 第2部分：电流互感器的补充技术要求</w:t>
      </w:r>
    </w:p>
    <w:p w14:paraId="4F673C09">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szCs w:val="22"/>
        </w:rPr>
        <w:t xml:space="preserve">GB 20840.3     </w:t>
      </w:r>
      <w:r>
        <w:rPr>
          <w:rFonts w:hint="eastAsia" w:ascii="宋体" w:hAnsi="宋体" w:eastAsia="宋体" w:cs="宋体"/>
          <w:kern w:val="0"/>
          <w:szCs w:val="22"/>
          <w:lang w:val="en-US" w:eastAsia="zh-CN"/>
        </w:rPr>
        <w:t xml:space="preserve"> </w:t>
      </w:r>
      <w:r>
        <w:rPr>
          <w:rFonts w:hint="eastAsia" w:ascii="宋体" w:hAnsi="宋体" w:eastAsia="宋体" w:cs="宋体"/>
          <w:kern w:val="0"/>
          <w:szCs w:val="22"/>
        </w:rPr>
        <w:t>互感器 第3部分：电磁式电压互感器的补充技术要求</w:t>
      </w:r>
    </w:p>
    <w:p w14:paraId="38B305D8">
      <w:pPr>
        <w:autoSpaceDE w:val="0"/>
        <w:autoSpaceDN w:val="0"/>
        <w:adjustRightInd w:val="0"/>
        <w:ind w:firstLine="420" w:firstLineChars="200"/>
        <w:rPr>
          <w:rFonts w:cs="宋体" w:asciiTheme="minorEastAsia" w:hAnsiTheme="minorEastAsia"/>
          <w:color w:val="000000"/>
          <w:kern w:val="0"/>
          <w:szCs w:val="21"/>
        </w:rPr>
      </w:pPr>
      <w:r>
        <w:rPr>
          <w:rFonts w:hint="eastAsia" w:cs="宋体" w:asciiTheme="minorEastAsia" w:hAnsiTheme="minorEastAsia"/>
          <w:color w:val="000000"/>
          <w:kern w:val="0"/>
          <w:szCs w:val="21"/>
        </w:rPr>
        <w:t xml:space="preserve">GB 50150       </w:t>
      </w:r>
      <w:r>
        <w:rPr>
          <w:rFonts w:hint="eastAsia" w:cs="宋体" w:asciiTheme="minorEastAsia" w:hAnsiTheme="minorEastAsia"/>
          <w:color w:val="000000"/>
          <w:kern w:val="0"/>
          <w:szCs w:val="21"/>
          <w:lang w:val="en-US" w:eastAsia="zh-CN"/>
        </w:rPr>
        <w:t xml:space="preserve"> </w:t>
      </w:r>
      <w:r>
        <w:rPr>
          <w:rFonts w:hint="eastAsia" w:cs="宋体" w:asciiTheme="minorEastAsia" w:hAnsiTheme="minorEastAsia"/>
          <w:color w:val="000000"/>
          <w:kern w:val="0"/>
          <w:szCs w:val="21"/>
        </w:rPr>
        <w:t>电气装置安装工程 电气设备交接试验标准</w:t>
      </w:r>
    </w:p>
    <w:p w14:paraId="4D9BF1CE">
      <w:pPr>
        <w:autoSpaceDE w:val="0"/>
        <w:autoSpaceDN w:val="0"/>
        <w:adjustRightInd w:val="0"/>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GB/T 311.2      绝缘配合 第2部分：使用导则</w:t>
      </w:r>
    </w:p>
    <w:p w14:paraId="7A9A87CE">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 xml:space="preserve">GB/T 708  </w:t>
      </w:r>
      <w:r>
        <w:rPr>
          <w:rFonts w:hint="eastAsia" w:ascii="宋体" w:hAnsi="宋体" w:eastAsia="宋体" w:cs="宋体"/>
          <w:kern w:val="0"/>
        </w:rPr>
        <w:t xml:space="preserve">     </w:t>
      </w:r>
      <w:r>
        <w:rPr>
          <w:rFonts w:hint="eastAsia" w:ascii="宋体" w:hAnsi="宋体" w:eastAsia="宋体" w:cs="宋体"/>
          <w:kern w:val="0"/>
          <w:lang w:val="en-US" w:eastAsia="zh-CN"/>
        </w:rPr>
        <w:t xml:space="preserve"> </w:t>
      </w:r>
      <w:r>
        <w:rPr>
          <w:rFonts w:hint="eastAsia" w:ascii="宋体" w:hAnsi="宋体" w:eastAsia="宋体" w:cs="宋体"/>
          <w:kern w:val="0"/>
          <w:szCs w:val="22"/>
        </w:rPr>
        <w:t>冷轧钢板和钢带的尺寸、外形、重量及允许偏差</w:t>
      </w:r>
    </w:p>
    <w:p w14:paraId="4D0931E0">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762       </w:t>
      </w:r>
      <w:r>
        <w:rPr>
          <w:rFonts w:hint="eastAsia" w:ascii="宋体" w:hAnsi="宋体" w:eastAsia="宋体" w:cs="宋体"/>
          <w:kern w:val="0"/>
          <w:lang w:val="en-US" w:eastAsia="zh-CN"/>
        </w:rPr>
        <w:t xml:space="preserve"> </w:t>
      </w:r>
      <w:r>
        <w:rPr>
          <w:rFonts w:hint="eastAsia" w:ascii="宋体" w:hAnsi="宋体" w:eastAsia="宋体" w:cs="宋体"/>
          <w:kern w:val="0"/>
        </w:rPr>
        <w:t>标准电流等级</w:t>
      </w:r>
    </w:p>
    <w:p w14:paraId="5F36BB1C">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1984       高压交流断路器</w:t>
      </w:r>
    </w:p>
    <w:p w14:paraId="1603DA0C">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GB/T 2423.1</w:t>
      </w:r>
      <w:r>
        <w:rPr>
          <w:rFonts w:hint="eastAsia" w:ascii="宋体" w:hAnsi="宋体" w:eastAsia="宋体" w:cs="宋体"/>
          <w:kern w:val="0"/>
        </w:rPr>
        <w:t xml:space="preserve">     </w:t>
      </w:r>
      <w:r>
        <w:rPr>
          <w:rFonts w:hint="eastAsia" w:ascii="宋体" w:hAnsi="宋体" w:eastAsia="宋体" w:cs="宋体"/>
          <w:kern w:val="0"/>
          <w:szCs w:val="22"/>
        </w:rPr>
        <w:t>电工电子产品环境试验 第2部分：试验方法 试验A：低温</w:t>
      </w:r>
    </w:p>
    <w:p w14:paraId="65004109">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2423.2     电工电子产品环境试验　第2部分：试验方法　试验B：高温</w:t>
      </w:r>
    </w:p>
    <w:p w14:paraId="68947765">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2423.3     环境试验 第2部分：试验方法 试验Cab：恒定湿热试验</w:t>
      </w:r>
    </w:p>
    <w:p w14:paraId="57050DC7">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 xml:space="preserve">GB/T 2423.10   </w:t>
      </w:r>
      <w:r>
        <w:rPr>
          <w:rFonts w:hint="eastAsia" w:ascii="宋体" w:hAnsi="宋体" w:eastAsia="宋体" w:cs="宋体"/>
          <w:kern w:val="0"/>
        </w:rPr>
        <w:t xml:space="preserve"> </w:t>
      </w:r>
      <w:r>
        <w:rPr>
          <w:rFonts w:hint="eastAsia" w:ascii="宋体" w:hAnsi="宋体" w:eastAsia="宋体" w:cs="宋体"/>
          <w:kern w:val="0"/>
          <w:szCs w:val="22"/>
        </w:rPr>
        <w:t>环境试验 第2部分：试验方法 试验Fc: 振动(正弦)</w:t>
      </w:r>
    </w:p>
    <w:p w14:paraId="1D2CD64E">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3804       3.6 kV～40.5 kV高压交流负荷开关</w:t>
      </w:r>
    </w:p>
    <w:p w14:paraId="4E769EBD">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3906      </w:t>
      </w:r>
      <w:r>
        <w:rPr>
          <w:rFonts w:hint="eastAsia" w:ascii="宋体" w:hAnsi="宋体" w:eastAsia="宋体" w:cs="宋体"/>
          <w:kern w:val="0"/>
          <w:lang w:val="en-US" w:eastAsia="zh-CN"/>
        </w:rPr>
        <w:t xml:space="preserve"> </w:t>
      </w:r>
      <w:r>
        <w:rPr>
          <w:rFonts w:hint="eastAsia" w:ascii="宋体" w:hAnsi="宋体" w:eastAsia="宋体" w:cs="宋体"/>
          <w:kern w:val="0"/>
        </w:rPr>
        <w:t>3.6kV～40.5kV交流金属封闭开关设备和控制设备</w:t>
      </w:r>
    </w:p>
    <w:p w14:paraId="348A4A08">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4208      </w:t>
      </w:r>
      <w:r>
        <w:rPr>
          <w:rFonts w:hint="eastAsia" w:ascii="宋体" w:hAnsi="宋体" w:eastAsia="宋体" w:cs="宋体"/>
          <w:kern w:val="0"/>
          <w:lang w:val="en-US" w:eastAsia="zh-CN"/>
        </w:rPr>
        <w:t xml:space="preserve"> </w:t>
      </w:r>
      <w:r>
        <w:rPr>
          <w:rFonts w:hint="eastAsia" w:ascii="宋体" w:hAnsi="宋体" w:eastAsia="宋体" w:cs="宋体"/>
          <w:kern w:val="0"/>
        </w:rPr>
        <w:t>外壳防护等级（IP代码）</w:t>
      </w:r>
    </w:p>
    <w:p w14:paraId="3FEC90BB">
      <w:pPr>
        <w:autoSpaceDE w:val="0"/>
        <w:autoSpaceDN w:val="0"/>
        <w:adjustRightInd w:val="0"/>
        <w:ind w:firstLine="420" w:firstLineChars="200"/>
        <w:rPr>
          <w:rFonts w:ascii="宋体" w:hAnsi="宋体" w:eastAsia="宋体" w:cs="宋体"/>
          <w:color w:val="000000"/>
          <w:kern w:val="0"/>
          <w:szCs w:val="21"/>
        </w:rPr>
      </w:pPr>
      <w:r>
        <w:rPr>
          <w:rFonts w:hint="eastAsia" w:ascii="宋体" w:hAnsi="宋体" w:eastAsia="宋体" w:cs="宋体"/>
          <w:color w:val="000000"/>
          <w:kern w:val="0"/>
          <w:szCs w:val="21"/>
        </w:rPr>
        <w:t xml:space="preserve">GB/T 7261   </w:t>
      </w:r>
      <w:r>
        <w:rPr>
          <w:rFonts w:hint="eastAsia" w:ascii="宋体" w:hAnsi="宋体" w:eastAsia="宋体" w:cs="宋体"/>
          <w:color w:val="000000"/>
          <w:kern w:val="0"/>
          <w:szCs w:val="21"/>
        </w:rPr>
        <w:tab/>
      </w:r>
      <w:r>
        <w:rPr>
          <w:rFonts w:hint="eastAsia" w:ascii="宋体" w:hAnsi="宋体" w:eastAsia="宋体" w:cs="宋体"/>
          <w:color w:val="000000"/>
          <w:kern w:val="0"/>
          <w:szCs w:val="21"/>
        </w:rPr>
        <w:t>继电保护和安全自动装置基本试验方法</w:t>
      </w:r>
    </w:p>
    <w:p w14:paraId="2D77ECA3">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rPr>
        <w:t xml:space="preserve">GB/T 7354      </w:t>
      </w:r>
      <w:r>
        <w:rPr>
          <w:rFonts w:hint="eastAsia" w:ascii="宋体" w:hAnsi="宋体" w:eastAsia="宋体" w:cs="宋体"/>
          <w:kern w:val="0"/>
          <w:lang w:val="en-US" w:eastAsia="zh-CN"/>
        </w:rPr>
        <w:t xml:space="preserve"> </w:t>
      </w:r>
      <w:r>
        <w:rPr>
          <w:rFonts w:hint="eastAsia" w:ascii="宋体" w:hAnsi="宋体" w:eastAsia="宋体" w:cs="宋体"/>
          <w:kern w:val="0"/>
          <w:szCs w:val="22"/>
        </w:rPr>
        <w:t>高电压试验技术 局部放电测量</w:t>
      </w:r>
    </w:p>
    <w:p w14:paraId="12A136C9">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rPr>
        <w:t xml:space="preserve">GB/T 11022     </w:t>
      </w:r>
      <w:r>
        <w:rPr>
          <w:rFonts w:hint="eastAsia" w:ascii="宋体" w:hAnsi="宋体" w:eastAsia="宋体" w:cs="宋体"/>
          <w:kern w:val="0"/>
          <w:lang w:val="en-US" w:eastAsia="zh-CN"/>
        </w:rPr>
        <w:t xml:space="preserve"> </w:t>
      </w:r>
      <w:r>
        <w:rPr>
          <w:rFonts w:hint="eastAsia" w:ascii="宋体" w:hAnsi="宋体" w:eastAsia="宋体" w:cs="宋体"/>
          <w:kern w:val="0"/>
        </w:rPr>
        <w:t>高压开关设备和控制设备标准的共用技术要求</w:t>
      </w:r>
    </w:p>
    <w:p w14:paraId="149C5EC4">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13729     </w:t>
      </w:r>
      <w:r>
        <w:rPr>
          <w:rFonts w:hint="eastAsia" w:ascii="宋体" w:hAnsi="宋体" w:eastAsia="宋体" w:cs="宋体"/>
          <w:kern w:val="0"/>
          <w:lang w:val="en-US" w:eastAsia="zh-CN"/>
        </w:rPr>
        <w:t xml:space="preserve"> </w:t>
      </w:r>
      <w:r>
        <w:rPr>
          <w:rFonts w:hint="eastAsia" w:ascii="宋体" w:hAnsi="宋体" w:eastAsia="宋体" w:cs="宋体"/>
          <w:kern w:val="0"/>
          <w:szCs w:val="22"/>
        </w:rPr>
        <w:t>远动终端设备</w:t>
      </w:r>
    </w:p>
    <w:p w14:paraId="03DA173D">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rPr>
        <w:t xml:space="preserve">GB/T 14598.24  </w:t>
      </w:r>
      <w:r>
        <w:rPr>
          <w:rFonts w:hint="eastAsia" w:ascii="宋体" w:hAnsi="宋体" w:eastAsia="宋体" w:cs="宋体"/>
          <w:kern w:val="0"/>
          <w:lang w:val="en-US" w:eastAsia="zh-CN"/>
        </w:rPr>
        <w:t xml:space="preserve"> </w:t>
      </w:r>
      <w:r>
        <w:rPr>
          <w:rFonts w:hint="eastAsia" w:ascii="宋体" w:hAnsi="宋体" w:eastAsia="宋体" w:cs="宋体"/>
          <w:kern w:val="0"/>
          <w:szCs w:val="22"/>
        </w:rPr>
        <w:t>量度继电器和保护装置 第24部分：电力系统暂态数据交换</w:t>
      </w:r>
    </w:p>
    <w:p w14:paraId="1890BD25">
      <w:pPr>
        <w:autoSpaceDE w:val="0"/>
        <w:autoSpaceDN w:val="0"/>
        <w:adjustRightInd w:val="0"/>
        <w:rPr>
          <w:rFonts w:ascii="宋体" w:hAnsi="宋体" w:eastAsia="宋体" w:cs="宋体"/>
          <w:kern w:val="0"/>
        </w:rPr>
      </w:pPr>
      <w:r>
        <w:rPr>
          <w:rFonts w:hint="eastAsia" w:ascii="宋体" w:hAnsi="宋体" w:eastAsia="宋体" w:cs="宋体"/>
          <w:kern w:val="0"/>
          <w:szCs w:val="22"/>
        </w:rPr>
        <w:t>(COMTRADE)通用格式</w:t>
      </w:r>
    </w:p>
    <w:p w14:paraId="71760B91">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14598.26   量度继电器和保护装置 第26部分：电磁兼容要求</w:t>
      </w:r>
    </w:p>
    <w:p w14:paraId="002D00F8">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16435.1   </w:t>
      </w:r>
      <w:r>
        <w:rPr>
          <w:rFonts w:hint="eastAsia" w:ascii="宋体" w:hAnsi="宋体" w:eastAsia="宋体" w:cs="宋体"/>
          <w:kern w:val="0"/>
          <w:lang w:val="en-US" w:eastAsia="zh-CN"/>
        </w:rPr>
        <w:t xml:space="preserve"> </w:t>
      </w:r>
      <w:r>
        <w:rPr>
          <w:rFonts w:hint="eastAsia" w:ascii="宋体" w:hAnsi="宋体" w:eastAsia="宋体" w:cs="宋体"/>
          <w:kern w:val="0"/>
          <w:szCs w:val="22"/>
        </w:rPr>
        <w:t>远动设备及系统接口（电气特性）</w:t>
      </w:r>
    </w:p>
    <w:p w14:paraId="45EF58D6">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16926      </w:t>
      </w:r>
      <w:r>
        <w:rPr>
          <w:rFonts w:hint="eastAsia" w:ascii="宋体" w:hAnsi="宋体" w:eastAsia="宋体" w:cs="宋体"/>
          <w:kern w:val="0"/>
          <w:szCs w:val="22"/>
        </w:rPr>
        <w:t>高压交流负荷开关 熔断器组合电器</w:t>
      </w:r>
    </w:p>
    <w:p w14:paraId="60260D1B">
      <w:pPr>
        <w:autoSpaceDE w:val="0"/>
        <w:autoSpaceDN w:val="0"/>
        <w:adjustRightInd w:val="0"/>
        <w:ind w:firstLine="420"/>
        <w:rPr>
          <w:rFonts w:ascii="宋体" w:hAnsi="宋体" w:eastAsia="宋体" w:cs="宋体"/>
          <w:kern w:val="0"/>
          <w:szCs w:val="21"/>
        </w:rPr>
      </w:pPr>
      <w:r>
        <w:rPr>
          <w:rFonts w:hint="eastAsia" w:ascii="宋体" w:hAnsi="宋体" w:eastAsia="宋体" w:cs="宋体"/>
          <w:kern w:val="0"/>
          <w:szCs w:val="21"/>
        </w:rPr>
        <w:t xml:space="preserve">GB/T 16927.1   </w:t>
      </w: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高电压试验技术 第1部分：一般定义及试验要求</w:t>
      </w:r>
    </w:p>
    <w:p w14:paraId="42BA7F84">
      <w:pPr>
        <w:autoSpaceDE w:val="0"/>
        <w:autoSpaceDN w:val="0"/>
        <w:adjustRightInd w:val="0"/>
        <w:ind w:firstLine="420" w:firstLineChars="200"/>
        <w:rPr>
          <w:rFonts w:ascii="宋体" w:hAnsi="宋体" w:eastAsia="宋体" w:cs="宋体"/>
          <w:color w:val="000000"/>
          <w:kern w:val="0"/>
          <w:szCs w:val="21"/>
        </w:rPr>
      </w:pPr>
      <w:r>
        <w:rPr>
          <w:rFonts w:hint="eastAsia"/>
        </w:rPr>
        <w:fldChar w:fldCharType="begin"/>
      </w:r>
      <w:r>
        <w:instrText xml:space="preserve"> HYPERLINK "http://www.csres.com/detail/181418.html" \t "_blank" </w:instrText>
      </w:r>
      <w:r>
        <w:rPr>
          <w:rFonts w:hint="eastAsia"/>
        </w:rPr>
        <w:fldChar w:fldCharType="separate"/>
      </w:r>
      <w:r>
        <w:rPr>
          <w:rFonts w:hint="eastAsia" w:ascii="宋体" w:hAnsi="宋体" w:eastAsia="宋体" w:cs="宋体"/>
          <w:kern w:val="0"/>
        </w:rPr>
        <w:t>GB/T 17626.1</w:t>
      </w:r>
      <w:r>
        <w:rPr>
          <w:rFonts w:hint="eastAsia" w:ascii="宋体" w:hAnsi="宋体" w:eastAsia="宋体" w:cs="宋体"/>
          <w:kern w:val="0"/>
        </w:rPr>
        <w:fldChar w:fldCharType="end"/>
      </w:r>
      <w:r>
        <w:rPr>
          <w:rFonts w:hint="eastAsia" w:ascii="宋体" w:hAnsi="宋体" w:eastAsia="宋体" w:cs="宋体"/>
          <w:color w:val="000000"/>
          <w:kern w:val="0"/>
          <w:szCs w:val="21"/>
        </w:rPr>
        <w:t xml:space="preserve">   </w:t>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kern w:val="0"/>
          <w:szCs w:val="21"/>
        </w:rPr>
        <w:t>电磁兼容 试验和测量技术 抗扰度试验总论</w:t>
      </w:r>
    </w:p>
    <w:p w14:paraId="7CD208C3">
      <w:pPr>
        <w:autoSpaceDE w:val="0"/>
        <w:autoSpaceDN w:val="0"/>
        <w:adjustRightInd w:val="0"/>
        <w:ind w:firstLine="420" w:firstLineChars="200"/>
        <w:rPr>
          <w:rFonts w:ascii="宋体" w:hAnsi="宋体" w:eastAsia="宋体" w:cs="宋体"/>
          <w:kern w:val="0"/>
        </w:rPr>
      </w:pPr>
      <w:r>
        <w:fldChar w:fldCharType="begin"/>
      </w:r>
      <w:r>
        <w:instrText xml:space="preserve"> HYPERLINK "http://www.csres.com/detail/181418.html" \t "_blank" </w:instrText>
      </w:r>
      <w:r>
        <w:fldChar w:fldCharType="separate"/>
      </w:r>
      <w:r>
        <w:rPr>
          <w:rFonts w:hint="eastAsia" w:ascii="宋体" w:hAnsi="宋体" w:eastAsia="宋体" w:cs="宋体"/>
          <w:kern w:val="0"/>
        </w:rPr>
        <w:t>GB/T 17626.2</w:t>
      </w:r>
      <w:r>
        <w:rPr>
          <w:rFonts w:hint="eastAsia" w:ascii="宋体" w:hAnsi="宋体" w:eastAsia="宋体" w:cs="宋体"/>
          <w:kern w:val="0"/>
        </w:rPr>
        <w:fldChar w:fldCharType="end"/>
      </w:r>
      <w:r>
        <w:rPr>
          <w:rFonts w:hint="eastAsia" w:ascii="宋体" w:hAnsi="宋体" w:eastAsia="宋体" w:cs="宋体"/>
          <w:color w:val="000000"/>
          <w:kern w:val="0"/>
          <w:szCs w:val="21"/>
        </w:rPr>
        <w:t xml:space="preserve">   </w:t>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szCs w:val="21"/>
          <w:shd w:val="clear" w:color="auto" w:fill="FFFFFF"/>
        </w:rPr>
        <w:t>电磁兼容 试验和测量技术 静电放电抗扰度试验</w:t>
      </w:r>
    </w:p>
    <w:p w14:paraId="66CC9A68">
      <w:pPr>
        <w:autoSpaceDE w:val="0"/>
        <w:autoSpaceDN w:val="0"/>
        <w:adjustRightInd w:val="0"/>
        <w:ind w:firstLine="420" w:firstLineChars="200"/>
        <w:rPr>
          <w:rFonts w:ascii="宋体" w:hAnsi="宋体" w:eastAsia="宋体" w:cs="宋体"/>
          <w:kern w:val="0"/>
        </w:rPr>
      </w:pPr>
      <w:r>
        <w:fldChar w:fldCharType="begin"/>
      </w:r>
      <w:r>
        <w:instrText xml:space="preserve"> HYPERLINK "http://www.csres.com/detail/181418.html" \t "_blank" </w:instrText>
      </w:r>
      <w:r>
        <w:fldChar w:fldCharType="separate"/>
      </w:r>
      <w:r>
        <w:rPr>
          <w:rFonts w:hint="eastAsia" w:ascii="宋体" w:hAnsi="宋体" w:eastAsia="宋体" w:cs="宋体"/>
          <w:kern w:val="0"/>
        </w:rPr>
        <w:t>GB/T 17626.3</w:t>
      </w:r>
      <w:r>
        <w:rPr>
          <w:rFonts w:hint="eastAsia" w:ascii="宋体" w:hAnsi="宋体" w:eastAsia="宋体" w:cs="宋体"/>
          <w:kern w:val="0"/>
        </w:rPr>
        <w:fldChar w:fldCharType="end"/>
      </w:r>
      <w:r>
        <w:rPr>
          <w:rFonts w:hint="eastAsia" w:ascii="宋体" w:hAnsi="宋体" w:eastAsia="宋体" w:cs="宋体"/>
          <w:color w:val="000000"/>
          <w:kern w:val="0"/>
          <w:szCs w:val="21"/>
        </w:rPr>
        <w:t xml:space="preserve">   </w:t>
      </w:r>
      <w:r>
        <w:rPr>
          <w:rFonts w:hint="eastAsia" w:ascii="宋体" w:hAnsi="宋体" w:eastAsia="宋体" w:cs="宋体"/>
          <w:color w:val="000000"/>
          <w:kern w:val="0"/>
          <w:szCs w:val="21"/>
          <w:lang w:val="en-US" w:eastAsia="zh-CN"/>
        </w:rPr>
        <w:t xml:space="preserve"> </w:t>
      </w:r>
      <w:r>
        <w:rPr>
          <w:rFonts w:hint="eastAsia" w:ascii="宋体" w:hAnsi="宋体" w:eastAsia="宋体" w:cs="宋体"/>
          <w:color w:val="000000"/>
          <w:szCs w:val="21"/>
          <w:shd w:val="clear" w:color="auto" w:fill="FFFFFF"/>
        </w:rPr>
        <w:t>电磁兼容 试验和测量技术 射频电磁场辐射抗扰度试验</w:t>
      </w:r>
    </w:p>
    <w:p w14:paraId="3C9542B5">
      <w:pPr>
        <w:autoSpaceDE w:val="0"/>
        <w:autoSpaceDN w:val="0"/>
        <w:adjustRightInd w:val="0"/>
        <w:ind w:firstLine="420" w:firstLineChars="200"/>
        <w:rPr>
          <w:rFonts w:ascii="宋体" w:hAnsi="宋体" w:eastAsia="宋体" w:cs="宋体"/>
          <w:color w:val="000000"/>
          <w:szCs w:val="21"/>
          <w:shd w:val="clear" w:color="auto" w:fill="FFFFFF"/>
        </w:rPr>
      </w:pPr>
      <w:r>
        <w:fldChar w:fldCharType="begin"/>
      </w:r>
      <w:r>
        <w:instrText xml:space="preserve"> HYPERLINK "http://www.csres.com/detail/181418.html" \t "_blank" </w:instrText>
      </w:r>
      <w:r>
        <w:fldChar w:fldCharType="separate"/>
      </w:r>
      <w:r>
        <w:rPr>
          <w:rFonts w:hint="eastAsia" w:ascii="宋体" w:hAnsi="宋体" w:eastAsia="宋体" w:cs="宋体"/>
          <w:color w:val="000000"/>
          <w:szCs w:val="21"/>
          <w:shd w:val="clear" w:color="auto" w:fill="FFFFFF"/>
        </w:rPr>
        <w:t>GB/T 17626.4</w:t>
      </w:r>
      <w:r>
        <w:rPr>
          <w:rFonts w:hint="eastAsia" w:ascii="宋体" w:hAnsi="宋体" w:eastAsia="宋体" w:cs="宋体"/>
          <w:color w:val="000000"/>
          <w:szCs w:val="21"/>
          <w:shd w:val="clear" w:color="auto" w:fill="FFFFFF"/>
        </w:rPr>
        <w:fldChar w:fldCharType="end"/>
      </w:r>
      <w:r>
        <w:rPr>
          <w:rFonts w:hint="eastAsia" w:ascii="宋体" w:hAnsi="宋体" w:eastAsia="宋体" w:cs="宋体"/>
          <w:color w:val="000000"/>
          <w:szCs w:val="21"/>
          <w:shd w:val="clear" w:color="auto" w:fill="FFFFFF"/>
        </w:rPr>
        <w:t xml:space="preserve">   </w:t>
      </w:r>
      <w:r>
        <w:rPr>
          <w:rFonts w:hint="eastAsia" w:ascii="宋体" w:hAnsi="宋体" w:eastAsia="宋体" w:cs="宋体"/>
          <w:color w:val="000000"/>
          <w:szCs w:val="21"/>
          <w:shd w:val="clear" w:color="auto" w:fill="FFFFFF"/>
          <w:lang w:val="en-US" w:eastAsia="zh-CN"/>
        </w:rPr>
        <w:t xml:space="preserve"> </w:t>
      </w:r>
      <w:r>
        <w:rPr>
          <w:rFonts w:hint="eastAsia" w:ascii="宋体" w:hAnsi="宋体" w:eastAsia="宋体" w:cs="宋体"/>
          <w:color w:val="000000"/>
          <w:szCs w:val="21"/>
          <w:shd w:val="clear" w:color="auto" w:fill="FFFFFF"/>
        </w:rPr>
        <w:t>电磁兼容 试验和测量技术 电快速瞬变脉冲群抗扰度试验</w:t>
      </w:r>
    </w:p>
    <w:p w14:paraId="107152CF">
      <w:pPr>
        <w:widowControl/>
        <w:ind w:firstLine="200"/>
        <w:rPr>
          <w:rFonts w:ascii="宋体" w:hAnsi="宋体" w:eastAsia="宋体" w:cs="宋体"/>
          <w:kern w:val="0"/>
          <w:szCs w:val="21"/>
        </w:rPr>
      </w:pPr>
      <w:r>
        <w:rPr>
          <w:rFonts w:hint="eastAsia" w:ascii="宋体" w:hAnsi="宋体" w:eastAsia="宋体" w:cs="宋体"/>
          <w:kern w:val="0"/>
          <w:szCs w:val="21"/>
        </w:rPr>
        <w:t> </w:t>
      </w:r>
      <w:r>
        <w:fldChar w:fldCharType="begin"/>
      </w:r>
      <w:r>
        <w:instrText xml:space="preserve"> HYPERLINK "http://www.csres.com/detail/181418.html" \t "_blank" </w:instrText>
      </w:r>
      <w:r>
        <w:fldChar w:fldCharType="separate"/>
      </w:r>
      <w:r>
        <w:rPr>
          <w:rFonts w:hint="eastAsia" w:ascii="宋体" w:hAnsi="宋体" w:eastAsia="宋体" w:cs="宋体"/>
          <w:color w:val="000000"/>
          <w:szCs w:val="21"/>
          <w:shd w:val="clear" w:color="auto" w:fill="FFFFFF"/>
        </w:rPr>
        <w:t>GB/T 17626.5</w:t>
      </w:r>
      <w:r>
        <w:rPr>
          <w:rFonts w:hint="eastAsia" w:ascii="宋体" w:hAnsi="宋体" w:eastAsia="宋体" w:cs="宋体"/>
          <w:color w:val="000000"/>
          <w:szCs w:val="21"/>
          <w:shd w:val="clear" w:color="auto" w:fill="FFFFFF"/>
        </w:rPr>
        <w:fldChar w:fldCharType="end"/>
      </w:r>
      <w:r>
        <w:rPr>
          <w:rFonts w:hint="eastAsia" w:ascii="宋体" w:hAnsi="宋体" w:eastAsia="宋体" w:cs="宋体"/>
          <w:color w:val="000000"/>
          <w:szCs w:val="21"/>
          <w:shd w:val="clear" w:color="auto" w:fill="FFFFFF"/>
        </w:rPr>
        <w:t xml:space="preserve">   </w:t>
      </w:r>
      <w:r>
        <w:rPr>
          <w:rFonts w:hint="eastAsia" w:ascii="宋体" w:hAnsi="宋体" w:eastAsia="宋体" w:cs="宋体"/>
          <w:color w:val="000000"/>
          <w:szCs w:val="21"/>
          <w:shd w:val="clear" w:color="auto" w:fill="FFFFFF"/>
          <w:lang w:val="en-US" w:eastAsia="zh-CN"/>
        </w:rPr>
        <w:t xml:space="preserve"> </w:t>
      </w:r>
      <w:r>
        <w:rPr>
          <w:rFonts w:hint="eastAsia" w:ascii="宋体" w:hAnsi="宋体" w:eastAsia="宋体" w:cs="宋体"/>
          <w:color w:val="000000"/>
          <w:kern w:val="0"/>
          <w:szCs w:val="21"/>
        </w:rPr>
        <w:t>电磁兼容 试验和测量技术 浪涌（冲击）抗扰度试验</w:t>
      </w:r>
    </w:p>
    <w:p w14:paraId="6F96D98D">
      <w:pPr>
        <w:autoSpaceDE w:val="0"/>
        <w:autoSpaceDN w:val="0"/>
        <w:adjustRightInd w:val="0"/>
        <w:ind w:firstLine="420" w:firstLineChars="200"/>
        <w:rPr>
          <w:rFonts w:ascii="宋体" w:hAnsi="宋体" w:eastAsia="宋体" w:cs="宋体"/>
          <w:kern w:val="0"/>
        </w:rPr>
      </w:pPr>
      <w:r>
        <w:fldChar w:fldCharType="begin"/>
      </w:r>
      <w:r>
        <w:instrText xml:space="preserve"> HYPERLINK "http://www.csres.com/detail/181418.html" \t "_blank" </w:instrText>
      </w:r>
      <w:r>
        <w:fldChar w:fldCharType="separate"/>
      </w:r>
      <w:r>
        <w:rPr>
          <w:rFonts w:hint="eastAsia" w:ascii="宋体" w:hAnsi="宋体" w:eastAsia="宋体" w:cs="宋体"/>
          <w:color w:val="000000"/>
          <w:szCs w:val="21"/>
          <w:shd w:val="clear" w:color="auto" w:fill="FFFFFF"/>
        </w:rPr>
        <w:t>GB/T 17626.6</w:t>
      </w:r>
      <w:r>
        <w:rPr>
          <w:rFonts w:hint="eastAsia" w:ascii="宋体" w:hAnsi="宋体" w:eastAsia="宋体" w:cs="宋体"/>
          <w:color w:val="000000"/>
          <w:szCs w:val="21"/>
          <w:shd w:val="clear" w:color="auto" w:fill="FFFFFF"/>
        </w:rPr>
        <w:fldChar w:fldCharType="end"/>
      </w:r>
      <w:r>
        <w:rPr>
          <w:rFonts w:hint="eastAsia" w:ascii="宋体" w:hAnsi="宋体" w:eastAsia="宋体" w:cs="宋体"/>
          <w:color w:val="000000"/>
          <w:szCs w:val="21"/>
          <w:shd w:val="clear" w:color="auto" w:fill="FFFFFF"/>
        </w:rPr>
        <w:t xml:space="preserve">   </w:t>
      </w:r>
      <w:r>
        <w:rPr>
          <w:rFonts w:hint="eastAsia" w:ascii="宋体" w:hAnsi="宋体" w:eastAsia="宋体" w:cs="宋体"/>
          <w:color w:val="000000"/>
          <w:szCs w:val="21"/>
          <w:shd w:val="clear" w:color="auto" w:fill="FFFFFF"/>
          <w:lang w:val="en-US" w:eastAsia="zh-CN"/>
        </w:rPr>
        <w:t xml:space="preserve"> </w:t>
      </w:r>
      <w:r>
        <w:rPr>
          <w:rFonts w:hint="eastAsia" w:ascii="宋体" w:hAnsi="宋体" w:eastAsia="宋体" w:cs="宋体"/>
          <w:color w:val="000000"/>
          <w:szCs w:val="21"/>
          <w:shd w:val="clear" w:color="auto" w:fill="FFFFFF"/>
        </w:rPr>
        <w:t>电</w:t>
      </w:r>
      <w:r>
        <w:rPr>
          <w:rFonts w:hint="eastAsia" w:ascii="宋体" w:hAnsi="宋体" w:eastAsia="宋体" w:cs="宋体"/>
          <w:color w:val="000000"/>
          <w:kern w:val="0"/>
          <w:szCs w:val="21"/>
        </w:rPr>
        <w:t>磁兼容 试验和测量技术 射频场感应的传导骚扰抗扰度</w:t>
      </w:r>
    </w:p>
    <w:p w14:paraId="27446CD0">
      <w:pPr>
        <w:widowControl/>
        <w:ind w:firstLine="420" w:firstLineChars="200"/>
        <w:rPr>
          <w:rFonts w:ascii="宋体" w:hAnsi="宋体" w:eastAsia="宋体" w:cs="宋体"/>
          <w:kern w:val="0"/>
          <w:szCs w:val="21"/>
        </w:rPr>
      </w:pPr>
      <w:r>
        <w:fldChar w:fldCharType="begin"/>
      </w:r>
      <w:r>
        <w:instrText xml:space="preserve"> HYPERLINK "http://www.csres.com/detail/181418.html" \t "_blank" </w:instrText>
      </w:r>
      <w:r>
        <w:fldChar w:fldCharType="separate"/>
      </w:r>
      <w:r>
        <w:rPr>
          <w:rFonts w:hint="eastAsia" w:ascii="宋体" w:hAnsi="宋体" w:eastAsia="宋体" w:cs="宋体"/>
          <w:color w:val="000000"/>
          <w:szCs w:val="21"/>
          <w:shd w:val="clear" w:color="auto" w:fill="FFFFFF"/>
        </w:rPr>
        <w:t>GB/T 17626.</w:t>
      </w:r>
      <w:r>
        <w:rPr>
          <w:rFonts w:hint="eastAsia" w:ascii="宋体" w:hAnsi="宋体" w:eastAsia="宋体" w:cs="宋体"/>
          <w:color w:val="000000"/>
          <w:szCs w:val="21"/>
          <w:shd w:val="clear" w:color="auto" w:fill="FFFFFF"/>
        </w:rPr>
        <w:fldChar w:fldCharType="end"/>
      </w:r>
      <w:r>
        <w:rPr>
          <w:rFonts w:hint="eastAsia" w:ascii="宋体" w:hAnsi="宋体" w:eastAsia="宋体" w:cs="宋体"/>
          <w:color w:val="000000"/>
          <w:szCs w:val="21"/>
          <w:shd w:val="clear" w:color="auto" w:fill="FFFFFF"/>
        </w:rPr>
        <w:t xml:space="preserve">7   </w:t>
      </w:r>
      <w:r>
        <w:rPr>
          <w:rFonts w:hint="eastAsia" w:ascii="宋体" w:hAnsi="宋体" w:eastAsia="宋体" w:cs="宋体"/>
          <w:color w:val="000000"/>
          <w:szCs w:val="21"/>
          <w:shd w:val="clear" w:color="auto" w:fill="FFFFFF"/>
          <w:lang w:val="en-US" w:eastAsia="zh-CN"/>
        </w:rPr>
        <w:t xml:space="preserve"> </w:t>
      </w:r>
      <w:r>
        <w:rPr>
          <w:rFonts w:hint="eastAsia" w:ascii="宋体" w:hAnsi="宋体" w:eastAsia="宋体" w:cs="宋体"/>
          <w:color w:val="000000"/>
          <w:kern w:val="0"/>
          <w:szCs w:val="21"/>
        </w:rPr>
        <w:t>电磁兼容 试验和测量技术 供电系统及所连设备谐波、间谐波的测量和测量仪器导则</w:t>
      </w:r>
    </w:p>
    <w:p w14:paraId="2FD9CC95">
      <w:pPr>
        <w:widowControl/>
        <w:ind w:left="2289" w:leftChars="190" w:hanging="1890" w:hangingChars="900"/>
        <w:rPr>
          <w:rFonts w:ascii="宋体" w:hAnsi="宋体" w:eastAsia="宋体" w:cs="宋体"/>
          <w:kern w:val="0"/>
          <w:szCs w:val="21"/>
        </w:rPr>
      </w:pPr>
      <w:r>
        <w:fldChar w:fldCharType="begin"/>
      </w:r>
      <w:r>
        <w:instrText xml:space="preserve"> HYPERLINK "http://www.csres.com/detail/181418.html" \t "_blank" </w:instrText>
      </w:r>
      <w:r>
        <w:fldChar w:fldCharType="separate"/>
      </w:r>
      <w:r>
        <w:rPr>
          <w:rFonts w:hint="eastAsia" w:ascii="宋体" w:hAnsi="宋体" w:eastAsia="宋体" w:cs="宋体"/>
          <w:color w:val="000000"/>
          <w:szCs w:val="21"/>
          <w:shd w:val="clear" w:color="auto" w:fill="FFFFFF"/>
        </w:rPr>
        <w:t>GB/T 17626.8</w:t>
      </w:r>
      <w:r>
        <w:rPr>
          <w:rFonts w:hint="eastAsia" w:ascii="宋体" w:hAnsi="宋体" w:eastAsia="宋体" w:cs="宋体"/>
          <w:color w:val="000000"/>
          <w:szCs w:val="21"/>
          <w:shd w:val="clear" w:color="auto" w:fill="FFFFFF"/>
        </w:rPr>
        <w:fldChar w:fldCharType="end"/>
      </w:r>
      <w:r>
        <w:rPr>
          <w:rFonts w:hint="eastAsia" w:ascii="宋体" w:hAnsi="宋体" w:eastAsia="宋体" w:cs="宋体"/>
          <w:color w:val="000000"/>
          <w:szCs w:val="21"/>
          <w:shd w:val="clear" w:color="auto" w:fill="FFFFFF"/>
        </w:rPr>
        <w:t xml:space="preserve">   </w:t>
      </w:r>
      <w:r>
        <w:rPr>
          <w:rFonts w:hint="eastAsia" w:ascii="宋体" w:hAnsi="宋体" w:eastAsia="宋体" w:cs="宋体"/>
          <w:color w:val="000000"/>
          <w:kern w:val="0"/>
          <w:szCs w:val="21"/>
        </w:rPr>
        <w:t>电磁兼容 试验和测量技术 工频磁场抗扰度试验测量和测量仪器导则</w:t>
      </w:r>
    </w:p>
    <w:p w14:paraId="5CD980F4">
      <w:pPr>
        <w:autoSpaceDE w:val="0"/>
        <w:autoSpaceDN w:val="0"/>
        <w:adjustRightInd w:val="0"/>
        <w:ind w:firstLine="420" w:firstLineChars="200"/>
        <w:rPr>
          <w:rFonts w:ascii="宋体" w:hAnsi="宋体" w:eastAsia="宋体" w:cs="宋体"/>
          <w:kern w:val="0"/>
        </w:rPr>
      </w:pPr>
      <w:r>
        <w:rPr>
          <w:rFonts w:hint="eastAsia" w:ascii="宋体" w:hAnsi="宋体" w:eastAsia="宋体" w:cs="宋体"/>
          <w:color w:val="000000"/>
          <w:szCs w:val="21"/>
          <w:shd w:val="clear" w:color="auto" w:fill="FFFFFF"/>
        </w:rPr>
        <w:t>GB/T 17626.9   电磁兼容 试验和测量技术 脉冲磁场抗扰度试验</w:t>
      </w:r>
    </w:p>
    <w:p w14:paraId="39578D68">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17626.10  电磁兼容 试验和测量技术 阻尼振荡磁场抗扰度试验</w:t>
      </w:r>
    </w:p>
    <w:p w14:paraId="7616A4AA">
      <w:pPr>
        <w:widowControl/>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17626.11  电磁兼容 试验和测量技术 电压暂降、短时中断和电压变化的          抗扰度试验</w:t>
      </w:r>
    </w:p>
    <w:p w14:paraId="5C2F3B28">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17626.12   电磁兼容 试验和测量技术 振铃波抗扰度试验</w:t>
      </w:r>
    </w:p>
    <w:p w14:paraId="237EE649">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17626.13   电磁兼容 试验和测量技术 交流电源端口谐波、谐间波及电网信 号的低频抗扰度试验</w:t>
      </w:r>
    </w:p>
    <w:p w14:paraId="48796FB3">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17626.14  电磁兼容 试验和测量技术 电压波动抗扰度试验</w:t>
      </w:r>
    </w:p>
    <w:p w14:paraId="78E02912">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17626.17   电磁兼容 试验和测量技术 直流电源输入端口纹波抗扰度试验</w:t>
      </w:r>
    </w:p>
    <w:p w14:paraId="661EB6B9">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 xml:space="preserve">GB/T 17626.27   </w:t>
      </w:r>
      <w:r>
        <w:rPr>
          <w:rFonts w:hint="eastAsia" w:ascii="宋体" w:hAnsi="宋体" w:eastAsia="宋体" w:cs="宋体"/>
          <w:color w:val="000000"/>
          <w:szCs w:val="21"/>
          <w:shd w:val="clear" w:color="auto" w:fill="FFFFFF"/>
        </w:rPr>
        <w:t>电磁兼容 试验和测量技术 三相电压不平衡抗扰度试验</w:t>
      </w:r>
    </w:p>
    <w:p w14:paraId="636A43E3">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17626.28   电磁兼容 试验和测量技术 工频频率变化抗扰度试验</w:t>
      </w:r>
    </w:p>
    <w:p w14:paraId="76248EED">
      <w:pPr>
        <w:autoSpaceDE w:val="0"/>
        <w:autoSpaceDN w:val="0"/>
        <w:adjustRightInd w:val="0"/>
        <w:ind w:firstLine="420" w:firstLineChars="200"/>
        <w:rPr>
          <w:rFonts w:ascii="宋体" w:hAnsi="宋体" w:eastAsia="宋体" w:cs="宋体"/>
          <w:color w:val="000000"/>
          <w:szCs w:val="21"/>
          <w:shd w:val="clear" w:color="auto" w:fill="FFFFFF"/>
        </w:rPr>
      </w:pPr>
      <w:r>
        <w:rPr>
          <w:rFonts w:hint="eastAsia" w:ascii="宋体" w:hAnsi="宋体" w:eastAsia="宋体" w:cs="宋体"/>
          <w:color w:val="000000"/>
          <w:szCs w:val="21"/>
          <w:shd w:val="clear" w:color="auto" w:fill="FFFFFF"/>
        </w:rPr>
        <w:t>GB/T 17626.29   电磁兼容 试验和测量技术 直流电源输入端口电压暂降、短时中断和电压变化的抗扰度试验</w:t>
      </w:r>
    </w:p>
    <w:p w14:paraId="18F901A1">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19582.1   基于Modbus协议的工业自动化网络规范.第1部分：Modbus应用协议</w:t>
      </w:r>
    </w:p>
    <w:p w14:paraId="5C6188FB">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19582.2   基于Modbus协议的工业自动化网络规范.第2部分：Modbus协议在串    行链路上的实现指南</w:t>
      </w:r>
    </w:p>
    <w:p w14:paraId="66C5D61C">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GB/T 20840.7   互感器 第7部分：电子式电压互感器</w:t>
      </w:r>
    </w:p>
    <w:p w14:paraId="3F296106">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GB/T 50065     交流电气装置的接地设计规范</w:t>
      </w:r>
    </w:p>
    <w:p w14:paraId="60AE2B70">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rPr>
        <w:t xml:space="preserve">NB∕T 42086     </w:t>
      </w:r>
      <w:r>
        <w:rPr>
          <w:rFonts w:hint="eastAsia" w:ascii="宋体" w:hAnsi="宋体" w:eastAsia="宋体" w:cs="宋体"/>
          <w:kern w:val="0"/>
          <w:szCs w:val="22"/>
        </w:rPr>
        <w:t>无线测温装置技术要求</w:t>
      </w:r>
    </w:p>
    <w:p w14:paraId="3D99320E">
      <w:pPr>
        <w:pStyle w:val="2"/>
        <w:spacing w:before="0" w:after="0" w:line="240" w:lineRule="auto"/>
        <w:ind w:firstLine="420"/>
        <w:jc w:val="left"/>
        <w:rPr>
          <w:rFonts w:ascii="宋体" w:hAnsi="宋体" w:eastAsia="宋体" w:cs="宋体"/>
          <w:color w:val="auto"/>
          <w:sz w:val="21"/>
          <w:szCs w:val="21"/>
        </w:rPr>
      </w:pPr>
      <w:r>
        <w:rPr>
          <w:rFonts w:hint="eastAsia" w:ascii="宋体" w:hAnsi="宋体" w:eastAsia="宋体" w:cs="宋体"/>
          <w:color w:val="auto"/>
          <w:sz w:val="21"/>
          <w:szCs w:val="21"/>
        </w:rPr>
        <w:t>DL/T 403        高压交流真空断路器</w:t>
      </w:r>
    </w:p>
    <w:p w14:paraId="4FF7E615">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404        3.6kV～40.5kV交流金属封闭开关设备和控制设备</w:t>
      </w:r>
    </w:p>
    <w:p w14:paraId="4DA63DC0">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593        高压开关设备和控制设备标准的共用技术要求</w:t>
      </w:r>
    </w:p>
    <w:p w14:paraId="15C11681">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634.5101   远动设备及系统 第5-101部分：传输规约基本远动任务配套标准</w:t>
      </w:r>
    </w:p>
    <w:p w14:paraId="3A06C8D3">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634.5104   远动设备及系统 第5-104部分：传输规约 采用标准传输协议集的IEC60870-5-101网络访问</w:t>
      </w:r>
    </w:p>
    <w:p w14:paraId="1552D531">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721        配电自动化远方终端</w:t>
      </w:r>
    </w:p>
    <w:p w14:paraId="25FB13A8">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860        电力自动化通信网络和系统</w:t>
      </w:r>
    </w:p>
    <w:p w14:paraId="4F278AE2">
      <w:pPr>
        <w:autoSpaceDE w:val="0"/>
        <w:autoSpaceDN w:val="0"/>
        <w:adjustRightInd w:val="0"/>
        <w:ind w:firstLine="420" w:firstLineChars="200"/>
        <w:rPr>
          <w:rFonts w:ascii="宋体" w:hAnsi="宋体" w:eastAsia="宋体" w:cs="宋体"/>
          <w:kern w:val="0"/>
          <w:szCs w:val="22"/>
        </w:rPr>
      </w:pPr>
      <w:r>
        <w:rPr>
          <w:rFonts w:hint="eastAsia" w:ascii="宋体" w:hAnsi="宋体" w:eastAsia="宋体" w:cs="宋体"/>
          <w:kern w:val="0"/>
          <w:szCs w:val="22"/>
        </w:rPr>
        <w:t>DL/T 1529       配电自动化终端设备检测规程</w:t>
      </w:r>
    </w:p>
    <w:p w14:paraId="4162869A">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1910       配电网分布式馈线自动化技术规范</w:t>
      </w:r>
    </w:p>
    <w:p w14:paraId="7CEBC109">
      <w:pPr>
        <w:autoSpaceDE w:val="0"/>
        <w:autoSpaceDN w:val="0"/>
        <w:adjustRightInd w:val="0"/>
        <w:ind w:firstLine="420" w:firstLineChars="200"/>
        <w:rPr>
          <w:rFonts w:ascii="宋体" w:hAnsi="宋体" w:eastAsia="宋体" w:cs="宋体"/>
          <w:kern w:val="0"/>
        </w:rPr>
      </w:pPr>
      <w:r>
        <w:rPr>
          <w:rFonts w:hint="eastAsia" w:ascii="宋体" w:hAnsi="宋体" w:eastAsia="宋体" w:cs="宋体"/>
          <w:kern w:val="0"/>
        </w:rPr>
        <w:t>DL/T 2057       配电网分布式馈线自动化试验技术规范</w:t>
      </w:r>
    </w:p>
    <w:p w14:paraId="69875339">
      <w:pPr>
        <w:pStyle w:val="4"/>
        <w:spacing w:before="0" w:after="0" w:line="360" w:lineRule="auto"/>
        <w:rPr>
          <w:rFonts w:hint="eastAsia" w:ascii="黑体" w:hAnsi="黑体" w:eastAsia="黑体" w:cs="Times New Roman"/>
          <w:b w:val="0"/>
          <w:color w:val="000000"/>
          <w:sz w:val="21"/>
          <w:szCs w:val="20"/>
        </w:rPr>
      </w:pPr>
      <w:bookmarkStart w:id="9" w:name="_Toc119488993"/>
      <w:bookmarkStart w:id="10" w:name="_Toc119491176"/>
      <w:bookmarkStart w:id="11" w:name="_Toc119492220"/>
      <w:r>
        <w:rPr>
          <w:rFonts w:hint="eastAsia" w:ascii="黑体" w:hAnsi="黑体" w:eastAsia="黑体" w:cs="Times New Roman"/>
          <w:b w:val="0"/>
          <w:color w:val="000000"/>
          <w:sz w:val="21"/>
          <w:szCs w:val="20"/>
        </w:rPr>
        <w:t xml:space="preserve">3 术语和定义   </w:t>
      </w:r>
      <w:bookmarkEnd w:id="9"/>
      <w:bookmarkEnd w:id="10"/>
      <w:bookmarkEnd w:id="11"/>
    </w:p>
    <w:p w14:paraId="0FA63FFD">
      <w:pPr>
        <w:autoSpaceDE w:val="0"/>
        <w:autoSpaceDN w:val="0"/>
        <w:adjustRightInd w:val="0"/>
        <w:ind w:firstLine="420" w:firstLineChars="200"/>
        <w:rPr>
          <w:rFonts w:ascii="宋体" w:cs="宋体"/>
          <w:kern w:val="0"/>
          <w:szCs w:val="22"/>
        </w:rPr>
      </w:pPr>
      <w:r>
        <w:rPr>
          <w:rFonts w:hint="eastAsia" w:ascii="宋体" w:cs="宋体"/>
          <w:kern w:val="0"/>
          <w:szCs w:val="22"/>
        </w:rPr>
        <w:t>下列术语和定义适用于本文件。</w:t>
      </w:r>
    </w:p>
    <w:p w14:paraId="7E7E75EE">
      <w:pPr>
        <w:pStyle w:val="5"/>
        <w:spacing w:before="0" w:after="0" w:line="360" w:lineRule="auto"/>
        <w:ind w:left="199" w:hanging="199" w:hangingChars="95"/>
        <w:rPr>
          <w:rFonts w:ascii="黑体" w:hAnsi="黑体" w:cs="黑体"/>
          <w:b w:val="0"/>
          <w:bCs/>
          <w:sz w:val="21"/>
          <w:szCs w:val="21"/>
        </w:rPr>
      </w:pPr>
      <w:bookmarkStart w:id="12" w:name="_Toc119491177"/>
      <w:bookmarkStart w:id="13" w:name="_Toc119492221"/>
      <w:r>
        <w:rPr>
          <w:rFonts w:hint="eastAsia" w:ascii="黑体" w:hAnsi="黑体" w:cs="黑体"/>
          <w:b w:val="0"/>
          <w:bCs/>
          <w:sz w:val="21"/>
          <w:szCs w:val="21"/>
        </w:rPr>
        <w:t>3.1</w:t>
      </w:r>
      <w:bookmarkEnd w:id="12"/>
      <w:bookmarkEnd w:id="13"/>
      <w:r>
        <w:rPr>
          <w:rFonts w:hint="eastAsia" w:ascii="黑体" w:hAnsi="黑体" w:cs="黑体"/>
          <w:b w:val="0"/>
          <w:bCs/>
          <w:sz w:val="21"/>
          <w:szCs w:val="21"/>
        </w:rPr>
        <w:t xml:space="preserve"> </w:t>
      </w:r>
    </w:p>
    <w:p w14:paraId="300F55EB">
      <w:pPr>
        <w:ind w:firstLine="425"/>
        <w:textAlignment w:val="baseline"/>
        <w:rPr>
          <w:rFonts w:ascii="黑体" w:hAnsi="宋体" w:eastAsia="黑体" w:cs="Times New Roman"/>
          <w:color w:val="000000"/>
          <w:kern w:val="44"/>
          <w:szCs w:val="20"/>
        </w:rPr>
      </w:pPr>
      <w:r>
        <w:rPr>
          <w:rFonts w:hint="eastAsia" w:ascii="黑体" w:hAnsi="宋体" w:eastAsia="黑体" w:cs="Times New Roman"/>
          <w:color w:val="000000"/>
          <w:kern w:val="44"/>
          <w:szCs w:val="20"/>
        </w:rPr>
        <w:t>SF</w:t>
      </w:r>
      <w:r>
        <w:rPr>
          <w:rFonts w:hint="eastAsia" w:ascii="黑体" w:hAnsi="宋体" w:eastAsia="黑体" w:cs="Times New Roman"/>
          <w:color w:val="000000"/>
          <w:kern w:val="44"/>
          <w:szCs w:val="20"/>
          <w:vertAlign w:val="subscript"/>
        </w:rPr>
        <w:t>6</w:t>
      </w:r>
      <w:r>
        <w:rPr>
          <w:rFonts w:hint="eastAsia" w:ascii="黑体" w:hAnsi="宋体" w:eastAsia="黑体" w:cs="Times New Roman"/>
          <w:color w:val="000000"/>
          <w:kern w:val="44"/>
          <w:szCs w:val="20"/>
        </w:rPr>
        <w:t>气体全绝缘环网开关柜自动化成套设备 （SF</w:t>
      </w:r>
      <w:r>
        <w:rPr>
          <w:rFonts w:hint="eastAsia" w:ascii="黑体" w:hAnsi="宋体" w:eastAsia="黑体" w:cs="Times New Roman"/>
          <w:color w:val="000000"/>
          <w:kern w:val="44"/>
          <w:szCs w:val="20"/>
          <w:vertAlign w:val="subscript"/>
        </w:rPr>
        <w:t>6</w:t>
      </w:r>
      <w:r>
        <w:rPr>
          <w:rFonts w:hint="eastAsia" w:ascii="黑体" w:hAnsi="宋体" w:eastAsia="黑体" w:cs="Times New Roman"/>
          <w:color w:val="000000"/>
          <w:kern w:val="44"/>
          <w:szCs w:val="20"/>
        </w:rPr>
        <w:t xml:space="preserve"> gas fully insulated ring network switchgear complete set of automation equipment）</w:t>
      </w:r>
    </w:p>
    <w:p w14:paraId="5081A6C1">
      <w:pPr>
        <w:pStyle w:val="9"/>
        <w:rPr>
          <w:rFonts w:hAnsi="宋体"/>
          <w:color w:val="auto"/>
        </w:rPr>
      </w:pPr>
      <w:r>
        <w:rPr>
          <w:rFonts w:hint="eastAsia" w:hAnsi="宋体"/>
          <w:color w:val="000000"/>
        </w:rPr>
        <w:t>指将配电自动化终端、各种传感器、采集终端、互感器等</w:t>
      </w:r>
      <w:r>
        <w:rPr>
          <w:rFonts w:hint="eastAsia" w:hAnsi="宋体"/>
          <w:color w:val="auto"/>
        </w:rPr>
        <w:t>关键元件与SF</w:t>
      </w:r>
      <w:r>
        <w:rPr>
          <w:rFonts w:hint="eastAsia" w:hAnsi="宋体"/>
          <w:color w:val="auto"/>
          <w:vertAlign w:val="subscript"/>
        </w:rPr>
        <w:t>6</w:t>
      </w:r>
      <w:r>
        <w:rPr>
          <w:rFonts w:hint="eastAsia" w:hAnsi="宋体"/>
          <w:color w:val="auto"/>
        </w:rPr>
        <w:t>气体</w:t>
      </w:r>
      <w:r>
        <w:rPr>
          <w:rFonts w:hint="eastAsia" w:hAnsi="宋体"/>
          <w:color w:val="000000"/>
        </w:rPr>
        <w:t>全绝缘环网开</w:t>
      </w:r>
      <w:r>
        <w:rPr>
          <w:rFonts w:hint="eastAsia" w:hAnsi="宋体"/>
          <w:color w:val="auto"/>
        </w:rPr>
        <w:t>关柜进行一体化设计，实现数据的自动采集、故障的就地隔离与自愈、 SF</w:t>
      </w:r>
      <w:r>
        <w:rPr>
          <w:rFonts w:hint="eastAsia" w:hAnsi="宋体"/>
          <w:color w:val="auto"/>
          <w:vertAlign w:val="subscript"/>
        </w:rPr>
        <w:t>6</w:t>
      </w:r>
      <w:r>
        <w:rPr>
          <w:rFonts w:hint="eastAsia" w:hAnsi="宋体"/>
          <w:color w:val="auto"/>
        </w:rPr>
        <w:t>气体全绝缘环网开关柜在线监测等功能的SF</w:t>
      </w:r>
      <w:r>
        <w:rPr>
          <w:rFonts w:hint="eastAsia" w:hAnsi="宋体"/>
          <w:color w:val="auto"/>
          <w:vertAlign w:val="subscript"/>
        </w:rPr>
        <w:t>6</w:t>
      </w:r>
      <w:r>
        <w:rPr>
          <w:rFonts w:hint="eastAsia" w:hAnsi="宋体"/>
          <w:color w:val="auto"/>
        </w:rPr>
        <w:t>气体全绝缘环网开关柜自动化成套设备。</w:t>
      </w:r>
    </w:p>
    <w:p w14:paraId="0D0E76CC">
      <w:pPr>
        <w:pStyle w:val="5"/>
        <w:spacing w:before="0" w:after="0" w:line="360" w:lineRule="auto"/>
        <w:ind w:left="199" w:hanging="199" w:hangingChars="95"/>
        <w:rPr>
          <w:rFonts w:ascii="黑体" w:hAnsi="黑体" w:cs="黑体"/>
          <w:b w:val="0"/>
          <w:bCs/>
          <w:color w:val="auto"/>
          <w:sz w:val="21"/>
          <w:szCs w:val="21"/>
        </w:rPr>
      </w:pPr>
      <w:bookmarkStart w:id="14" w:name="_Toc119491178"/>
      <w:bookmarkStart w:id="15" w:name="_Toc119492222"/>
      <w:r>
        <w:rPr>
          <w:rFonts w:hint="eastAsia" w:ascii="黑体" w:hAnsi="黑体" w:cs="黑体"/>
          <w:b w:val="0"/>
          <w:bCs/>
          <w:color w:val="auto"/>
          <w:sz w:val="21"/>
          <w:szCs w:val="21"/>
        </w:rPr>
        <w:t>3.2</w:t>
      </w:r>
      <w:bookmarkEnd w:id="14"/>
      <w:bookmarkEnd w:id="15"/>
      <w:r>
        <w:rPr>
          <w:rFonts w:hint="eastAsia" w:ascii="黑体" w:hAnsi="黑体" w:cs="黑体"/>
          <w:b w:val="0"/>
          <w:bCs/>
          <w:color w:val="auto"/>
          <w:sz w:val="21"/>
          <w:szCs w:val="21"/>
        </w:rPr>
        <w:t xml:space="preserve"> </w:t>
      </w:r>
    </w:p>
    <w:p w14:paraId="69569118">
      <w:pPr>
        <w:ind w:firstLine="425"/>
        <w:textAlignment w:val="baseline"/>
        <w:rPr>
          <w:rFonts w:ascii="黑体" w:hAnsi="宋体" w:eastAsia="黑体" w:cs="Times New Roman"/>
          <w:color w:val="auto"/>
          <w:kern w:val="44"/>
          <w:szCs w:val="20"/>
        </w:rPr>
      </w:pPr>
      <w:r>
        <w:rPr>
          <w:rFonts w:hint="eastAsia" w:hAnsi="宋体"/>
          <w:color w:val="auto"/>
        </w:rPr>
        <w:t>SF</w:t>
      </w:r>
      <w:r>
        <w:rPr>
          <w:rFonts w:hint="eastAsia" w:hAnsi="宋体"/>
          <w:color w:val="auto"/>
          <w:vertAlign w:val="subscript"/>
        </w:rPr>
        <w:t>6</w:t>
      </w:r>
      <w:r>
        <w:rPr>
          <w:rFonts w:hint="eastAsia" w:ascii="黑体" w:hAnsi="宋体" w:eastAsia="黑体" w:cs="Times New Roman"/>
          <w:color w:val="auto"/>
          <w:kern w:val="44"/>
          <w:szCs w:val="20"/>
        </w:rPr>
        <w:t>气体全绝缘环网开关箱（</w:t>
      </w:r>
      <w:r>
        <w:rPr>
          <w:rFonts w:hint="eastAsia" w:hAnsi="宋体"/>
          <w:color w:val="auto"/>
        </w:rPr>
        <w:t>SF</w:t>
      </w:r>
      <w:r>
        <w:rPr>
          <w:rFonts w:hint="eastAsia" w:hAnsi="宋体"/>
          <w:color w:val="auto"/>
          <w:vertAlign w:val="subscript"/>
        </w:rPr>
        <w:t>6</w:t>
      </w:r>
      <w:r>
        <w:rPr>
          <w:rFonts w:hint="eastAsia" w:ascii="黑体" w:hAnsi="宋体" w:eastAsia="黑体" w:cs="Times New Roman"/>
          <w:color w:val="auto"/>
          <w:kern w:val="44"/>
          <w:szCs w:val="20"/>
        </w:rPr>
        <w:t xml:space="preserve"> gas fully insulated ring network switch box）</w:t>
      </w:r>
    </w:p>
    <w:p w14:paraId="28DC7E21">
      <w:pPr>
        <w:pStyle w:val="38"/>
        <w:tabs>
          <w:tab w:val="clear" w:pos="4201"/>
          <w:tab w:val="clear" w:pos="9298"/>
        </w:tabs>
        <w:autoSpaceDE/>
        <w:autoSpaceDN/>
        <w:rPr>
          <w:rFonts w:ascii="黑体" w:hAnsi="宋体" w:cs="黑体"/>
          <w:color w:val="auto"/>
          <w:sz w:val="21"/>
          <w:szCs w:val="21"/>
        </w:rPr>
      </w:pPr>
      <w:r>
        <w:rPr>
          <w:rFonts w:hint="eastAsia" w:hAnsi="宋体"/>
          <w:color w:val="auto"/>
          <w:sz w:val="21"/>
        </w:rPr>
        <w:t>指将SF</w:t>
      </w:r>
      <w:r>
        <w:rPr>
          <w:rFonts w:hint="eastAsia" w:hAnsi="宋体" w:eastAsiaTheme="minorEastAsia"/>
          <w:color w:val="auto"/>
          <w:sz w:val="21"/>
          <w:vertAlign w:val="subscript"/>
        </w:rPr>
        <w:t>6</w:t>
      </w:r>
      <w:r>
        <w:rPr>
          <w:rFonts w:hint="eastAsia" w:hAnsi="宋体"/>
          <w:color w:val="auto"/>
          <w:sz w:val="21"/>
        </w:rPr>
        <w:t>气体全绝缘环网开关柜、通信单元、后备电源、预制式电缆、互感器等关键部件进行一体化设计，实现数据的自动采集、故障的就地隔离与自愈、SF</w:t>
      </w:r>
      <w:r>
        <w:rPr>
          <w:rFonts w:hint="eastAsia" w:hAnsi="宋体" w:eastAsiaTheme="minorEastAsia"/>
          <w:color w:val="auto"/>
          <w:sz w:val="21"/>
          <w:vertAlign w:val="subscript"/>
        </w:rPr>
        <w:t>6</w:t>
      </w:r>
      <w:r>
        <w:rPr>
          <w:rFonts w:hint="eastAsia" w:hAnsi="宋体"/>
          <w:color w:val="auto"/>
          <w:sz w:val="21"/>
        </w:rPr>
        <w:t>气体全绝缘环网开关柜在线监测等功能的SF</w:t>
      </w:r>
      <w:r>
        <w:rPr>
          <w:rFonts w:hint="eastAsia" w:hAnsi="宋体" w:eastAsiaTheme="minorEastAsia"/>
          <w:color w:val="auto"/>
          <w:sz w:val="21"/>
          <w:vertAlign w:val="subscript"/>
        </w:rPr>
        <w:t>6</w:t>
      </w:r>
      <w:r>
        <w:rPr>
          <w:rFonts w:hint="eastAsia" w:hAnsi="宋体"/>
          <w:color w:val="auto"/>
          <w:sz w:val="21"/>
        </w:rPr>
        <w:t>气体全绝缘环网开关</w:t>
      </w:r>
      <w:r>
        <w:rPr>
          <w:rFonts w:hint="eastAsia" w:ascii="黑体" w:hAnsi="宋体" w:cs="黑体"/>
          <w:color w:val="auto"/>
          <w:sz w:val="21"/>
          <w:szCs w:val="21"/>
        </w:rPr>
        <w:t xml:space="preserve">箱。 </w:t>
      </w:r>
    </w:p>
    <w:p w14:paraId="5FB20EBE">
      <w:pPr>
        <w:pStyle w:val="5"/>
        <w:spacing w:before="0" w:after="0" w:line="240" w:lineRule="auto"/>
        <w:ind w:left="199" w:hanging="199" w:hangingChars="95"/>
        <w:rPr>
          <w:rFonts w:ascii="黑体" w:hAnsi="黑体" w:cs="黑体"/>
          <w:b w:val="0"/>
          <w:bCs/>
          <w:color w:val="auto"/>
          <w:sz w:val="21"/>
          <w:szCs w:val="21"/>
        </w:rPr>
      </w:pPr>
      <w:bookmarkStart w:id="16" w:name="_Toc119492223"/>
      <w:bookmarkStart w:id="17" w:name="_Toc119491179"/>
      <w:r>
        <w:rPr>
          <w:rFonts w:hint="eastAsia" w:ascii="黑体" w:hAnsi="黑体" w:cs="黑体"/>
          <w:b w:val="0"/>
          <w:bCs/>
          <w:color w:val="auto"/>
          <w:sz w:val="21"/>
          <w:szCs w:val="21"/>
        </w:rPr>
        <w:t>3.</w:t>
      </w:r>
      <w:bookmarkEnd w:id="16"/>
      <w:bookmarkEnd w:id="17"/>
      <w:r>
        <w:rPr>
          <w:rFonts w:hint="eastAsia" w:ascii="黑体" w:hAnsi="黑体" w:cs="黑体"/>
          <w:b w:val="0"/>
          <w:bCs/>
          <w:color w:val="auto"/>
          <w:sz w:val="21"/>
          <w:szCs w:val="21"/>
        </w:rPr>
        <w:t>3</w:t>
      </w:r>
    </w:p>
    <w:p w14:paraId="5FCFD8E3">
      <w:pPr>
        <w:ind w:firstLine="425"/>
        <w:textAlignment w:val="baseline"/>
        <w:rPr>
          <w:rFonts w:ascii="黑体" w:hAnsi="宋体" w:eastAsia="黑体" w:cs="Times New Roman"/>
          <w:color w:val="auto"/>
          <w:kern w:val="44"/>
          <w:szCs w:val="20"/>
        </w:rPr>
      </w:pPr>
      <w:r>
        <w:rPr>
          <w:rFonts w:hint="eastAsia" w:ascii="黑体" w:hAnsi="宋体" w:eastAsia="黑体" w:cs="Times New Roman"/>
          <w:color w:val="auto"/>
          <w:kern w:val="44"/>
          <w:szCs w:val="20"/>
        </w:rPr>
        <w:t>成套化试验（ formation test）</w:t>
      </w:r>
    </w:p>
    <w:p w14:paraId="7B873961">
      <w:pPr>
        <w:pStyle w:val="38"/>
        <w:tabs>
          <w:tab w:val="clear" w:pos="4201"/>
          <w:tab w:val="clear" w:pos="9298"/>
        </w:tabs>
        <w:autoSpaceDE/>
        <w:autoSpaceDN/>
        <w:rPr>
          <w:rFonts w:hAnsi="宋体"/>
          <w:color w:val="auto"/>
          <w:sz w:val="21"/>
        </w:rPr>
      </w:pPr>
      <w:r>
        <w:rPr>
          <w:rFonts w:hint="eastAsia" w:hAnsi="宋体"/>
          <w:color w:val="auto"/>
          <w:sz w:val="21"/>
        </w:rPr>
        <w:t>指将SF</w:t>
      </w:r>
      <w:r>
        <w:rPr>
          <w:rFonts w:hint="eastAsia" w:hAnsi="宋体" w:eastAsiaTheme="minorEastAsia"/>
          <w:color w:val="auto"/>
          <w:sz w:val="21"/>
          <w:vertAlign w:val="subscript"/>
        </w:rPr>
        <w:t>6</w:t>
      </w:r>
      <w:r>
        <w:rPr>
          <w:rFonts w:hint="eastAsia" w:hAnsi="宋体"/>
          <w:color w:val="auto"/>
          <w:sz w:val="21"/>
        </w:rPr>
        <w:t>气体全绝缘环网开关柜</w:t>
      </w:r>
      <w:r>
        <w:rPr>
          <w:rFonts w:hint="eastAsia" w:ascii="黑体" w:hAnsi="宋体" w:cs="黑体"/>
          <w:color w:val="auto"/>
          <w:sz w:val="21"/>
          <w:szCs w:val="21"/>
        </w:rPr>
        <w:t>自动化成套设备</w:t>
      </w:r>
      <w:r>
        <w:rPr>
          <w:rFonts w:hint="eastAsia" w:hAnsi="宋体"/>
          <w:color w:val="auto"/>
          <w:sz w:val="21"/>
        </w:rPr>
        <w:t xml:space="preserve">作为整体，验证其功能、性能的试验。 </w:t>
      </w:r>
    </w:p>
    <w:p w14:paraId="0AA8F1B6">
      <w:pPr>
        <w:pStyle w:val="5"/>
        <w:spacing w:before="0" w:after="0" w:line="360" w:lineRule="auto"/>
        <w:ind w:left="199" w:hanging="199" w:hangingChars="95"/>
        <w:rPr>
          <w:rFonts w:ascii="黑体" w:hAnsi="黑体" w:cs="黑体"/>
          <w:b w:val="0"/>
          <w:bCs/>
          <w:color w:val="auto"/>
          <w:sz w:val="21"/>
          <w:szCs w:val="21"/>
        </w:rPr>
      </w:pPr>
      <w:bookmarkStart w:id="18" w:name="_Toc119491180"/>
      <w:bookmarkStart w:id="19" w:name="_Toc119492224"/>
      <w:r>
        <w:rPr>
          <w:rFonts w:hint="eastAsia" w:ascii="黑体" w:hAnsi="黑体" w:cs="黑体"/>
          <w:b w:val="0"/>
          <w:bCs/>
          <w:color w:val="auto"/>
          <w:sz w:val="21"/>
          <w:szCs w:val="21"/>
        </w:rPr>
        <w:t>3.4</w:t>
      </w:r>
      <w:bookmarkEnd w:id="18"/>
      <w:bookmarkEnd w:id="19"/>
    </w:p>
    <w:p w14:paraId="42A528D4">
      <w:pPr>
        <w:ind w:firstLine="425"/>
        <w:textAlignment w:val="baseline"/>
        <w:rPr>
          <w:rFonts w:ascii="黑体" w:hAnsi="宋体" w:eastAsia="黑体" w:cs="Times New Roman"/>
          <w:color w:val="auto"/>
          <w:kern w:val="44"/>
          <w:szCs w:val="20"/>
        </w:rPr>
      </w:pPr>
      <w:r>
        <w:rPr>
          <w:rFonts w:hint="eastAsia" w:ascii="黑体" w:hAnsi="宋体" w:eastAsia="黑体" w:cs="Times New Roman"/>
          <w:color w:val="auto"/>
          <w:kern w:val="44"/>
          <w:szCs w:val="20"/>
        </w:rPr>
        <w:t>整组固有动作时间（ whole operation time）</w:t>
      </w:r>
    </w:p>
    <w:p w14:paraId="7B25F147">
      <w:pPr>
        <w:pStyle w:val="38"/>
        <w:tabs>
          <w:tab w:val="clear" w:pos="4201"/>
          <w:tab w:val="clear" w:pos="9298"/>
        </w:tabs>
        <w:autoSpaceDE/>
        <w:autoSpaceDN/>
        <w:rPr>
          <w:rFonts w:hAnsi="宋体"/>
          <w:color w:val="auto"/>
          <w:sz w:val="21"/>
        </w:rPr>
      </w:pPr>
      <w:r>
        <w:rPr>
          <w:rFonts w:hint="eastAsia" w:hAnsi="宋体"/>
          <w:color w:val="auto"/>
          <w:sz w:val="21"/>
        </w:rPr>
        <w:t>从线路上发生故障到最终SF</w:t>
      </w:r>
      <w:r>
        <w:rPr>
          <w:rFonts w:hint="eastAsia" w:hAnsi="宋体" w:eastAsiaTheme="minorEastAsia"/>
          <w:color w:val="auto"/>
          <w:sz w:val="21"/>
          <w:vertAlign w:val="subscript"/>
        </w:rPr>
        <w:t>6</w:t>
      </w:r>
      <w:r>
        <w:rPr>
          <w:rFonts w:hint="eastAsia" w:hAnsi="宋体"/>
          <w:color w:val="auto"/>
          <w:sz w:val="21"/>
        </w:rPr>
        <w:t>气体全绝缘环网开关柜</w:t>
      </w:r>
      <w:r>
        <w:rPr>
          <w:rFonts w:hint="eastAsia" w:ascii="黑体" w:hAnsi="宋体" w:cs="黑体"/>
          <w:color w:val="auto"/>
          <w:sz w:val="21"/>
          <w:szCs w:val="21"/>
        </w:rPr>
        <w:t>自动化成套设备</w:t>
      </w:r>
      <w:r>
        <w:rPr>
          <w:rFonts w:hint="eastAsia" w:hAnsi="宋体"/>
          <w:color w:val="auto"/>
          <w:sz w:val="21"/>
        </w:rPr>
        <w:t>切除线路故障的时间。</w:t>
      </w:r>
    </w:p>
    <w:p w14:paraId="08D32016">
      <w:pPr>
        <w:pStyle w:val="5"/>
        <w:spacing w:before="0" w:after="0" w:line="360" w:lineRule="auto"/>
        <w:ind w:left="199" w:hanging="199" w:hangingChars="95"/>
        <w:rPr>
          <w:rFonts w:ascii="黑体" w:hAnsi="黑体" w:cs="黑体"/>
          <w:b w:val="0"/>
          <w:bCs/>
          <w:color w:val="auto"/>
          <w:sz w:val="21"/>
          <w:szCs w:val="21"/>
        </w:rPr>
      </w:pPr>
      <w:bookmarkStart w:id="20" w:name="_Toc119492225"/>
      <w:bookmarkStart w:id="21" w:name="_Toc119491181"/>
      <w:r>
        <w:rPr>
          <w:rFonts w:hint="eastAsia" w:ascii="黑体" w:hAnsi="黑体" w:cs="黑体"/>
          <w:b w:val="0"/>
          <w:bCs/>
          <w:color w:val="auto"/>
          <w:sz w:val="21"/>
          <w:szCs w:val="21"/>
        </w:rPr>
        <w:t>3.5</w:t>
      </w:r>
      <w:bookmarkEnd w:id="20"/>
      <w:bookmarkEnd w:id="21"/>
    </w:p>
    <w:p w14:paraId="5EC48811">
      <w:pPr>
        <w:ind w:firstLine="425"/>
        <w:textAlignment w:val="baseline"/>
        <w:rPr>
          <w:rFonts w:ascii="黑体" w:hAnsi="宋体" w:eastAsia="黑体" w:cs="Times New Roman"/>
          <w:color w:val="auto"/>
          <w:kern w:val="44"/>
          <w:szCs w:val="20"/>
        </w:rPr>
      </w:pPr>
      <w:r>
        <w:rPr>
          <w:rFonts w:hint="eastAsia" w:ascii="黑体" w:hAnsi="宋体" w:eastAsia="黑体" w:cs="Times New Roman"/>
          <w:color w:val="auto"/>
          <w:kern w:val="44"/>
          <w:szCs w:val="20"/>
        </w:rPr>
        <w:t>雷电冲击抗扰度试验 （lightning impulse voltage immunity test）</w:t>
      </w:r>
    </w:p>
    <w:p w14:paraId="0582E63B">
      <w:pPr>
        <w:pStyle w:val="38"/>
        <w:tabs>
          <w:tab w:val="clear" w:pos="4201"/>
          <w:tab w:val="clear" w:pos="9298"/>
        </w:tabs>
        <w:autoSpaceDE/>
        <w:autoSpaceDN/>
        <w:rPr>
          <w:rFonts w:ascii="黑体" w:hAnsi="宋体" w:eastAsia="黑体" w:cs="黑体"/>
          <w:b/>
          <w:color w:val="000000"/>
          <w:sz w:val="21"/>
          <w:szCs w:val="21"/>
        </w:rPr>
      </w:pPr>
      <w:r>
        <w:rPr>
          <w:rFonts w:hint="eastAsia" w:hAnsi="宋体"/>
          <w:color w:val="auto"/>
          <w:sz w:val="21"/>
        </w:rPr>
        <w:t>指对SF</w:t>
      </w:r>
      <w:r>
        <w:rPr>
          <w:rFonts w:hint="eastAsia" w:hAnsi="宋体" w:eastAsiaTheme="minorEastAsia"/>
          <w:color w:val="auto"/>
          <w:sz w:val="21"/>
          <w:vertAlign w:val="subscript"/>
        </w:rPr>
        <w:t>6</w:t>
      </w:r>
      <w:r>
        <w:rPr>
          <w:rFonts w:hint="eastAsia" w:hAnsi="宋体"/>
          <w:color w:val="auto"/>
          <w:sz w:val="21"/>
        </w:rPr>
        <w:t>气体全绝缘环网开关柜</w:t>
      </w:r>
      <w:r>
        <w:rPr>
          <w:rFonts w:hint="eastAsia" w:ascii="黑体" w:hAnsi="宋体" w:cs="黑体"/>
          <w:color w:val="auto"/>
          <w:sz w:val="21"/>
          <w:szCs w:val="21"/>
        </w:rPr>
        <w:t>自动化成套设</w:t>
      </w:r>
      <w:r>
        <w:rPr>
          <w:rFonts w:hint="eastAsia" w:ascii="黑体" w:hAnsi="宋体" w:cs="黑体"/>
          <w:color w:val="000000"/>
          <w:sz w:val="21"/>
          <w:szCs w:val="21"/>
        </w:rPr>
        <w:t>备</w:t>
      </w:r>
      <w:r>
        <w:rPr>
          <w:rFonts w:hint="eastAsia" w:hAnsi="宋体"/>
          <w:color w:val="000000"/>
          <w:sz w:val="21"/>
        </w:rPr>
        <w:t xml:space="preserve">整机施加雷电冲击电压， 验证配电自动化终端、传感器及各类采集终端在经受该过程中的电磁干扰时，是否能正常工作。 </w:t>
      </w:r>
    </w:p>
    <w:p w14:paraId="3B98D605">
      <w:pPr>
        <w:pStyle w:val="4"/>
        <w:spacing w:before="0" w:after="0" w:line="360" w:lineRule="auto"/>
        <w:rPr>
          <w:rFonts w:hint="eastAsia" w:ascii="黑体" w:hAnsi="黑体" w:eastAsia="黑体" w:cs="Times New Roman"/>
          <w:b w:val="0"/>
          <w:color w:val="000000"/>
          <w:sz w:val="21"/>
          <w:szCs w:val="20"/>
        </w:rPr>
      </w:pPr>
      <w:bookmarkStart w:id="22" w:name="_Toc119488994"/>
      <w:bookmarkStart w:id="23" w:name="_Toc119491182"/>
      <w:bookmarkStart w:id="24" w:name="_Toc119492226"/>
      <w:r>
        <w:rPr>
          <w:rFonts w:hint="eastAsia" w:ascii="黑体" w:hAnsi="黑体" w:eastAsia="黑体" w:cs="Times New Roman"/>
          <w:b w:val="0"/>
          <w:color w:val="000000"/>
          <w:sz w:val="21"/>
          <w:szCs w:val="20"/>
        </w:rPr>
        <w:t>4 使用条件</w:t>
      </w:r>
    </w:p>
    <w:p w14:paraId="251B4034">
      <w:pPr>
        <w:pStyle w:val="5"/>
        <w:spacing w:before="0" w:after="0" w:line="360" w:lineRule="auto"/>
        <w:ind w:left="199" w:hanging="199" w:hangingChars="95"/>
        <w:rPr>
          <w:rFonts w:hint="eastAsia" w:ascii="黑体" w:hAnsi="黑体" w:cs="黑体"/>
          <w:b w:val="0"/>
          <w:bCs/>
          <w:color w:val="auto"/>
          <w:sz w:val="21"/>
          <w:szCs w:val="21"/>
        </w:rPr>
      </w:pPr>
      <w:bookmarkStart w:id="25" w:name="_Toc1326_WPSOffice_Level2"/>
      <w:r>
        <w:rPr>
          <w:rFonts w:hint="eastAsia" w:ascii="黑体" w:hAnsi="黑体" w:cs="黑体"/>
          <w:b w:val="0"/>
          <w:bCs/>
          <w:color w:val="auto"/>
          <w:sz w:val="21"/>
          <w:szCs w:val="21"/>
        </w:rPr>
        <w:t>4.1正常使用条件</w:t>
      </w:r>
      <w:bookmarkEnd w:id="25"/>
    </w:p>
    <w:p w14:paraId="40E8FAE3">
      <w:pPr>
        <w:pStyle w:val="6"/>
        <w:spacing w:before="0" w:after="0" w:line="360" w:lineRule="auto"/>
        <w:rPr>
          <w:rFonts w:ascii="黑体" w:hAnsi="黑体" w:eastAsia="黑体" w:cs="黑体"/>
          <w:b w:val="0"/>
          <w:bCs/>
          <w:sz w:val="21"/>
          <w:szCs w:val="21"/>
        </w:rPr>
      </w:pPr>
      <w:r>
        <w:rPr>
          <w:rFonts w:hint="eastAsia" w:ascii="黑体" w:hAnsi="黑体" w:eastAsia="黑体" w:cs="黑体"/>
          <w:b w:val="0"/>
          <w:bCs/>
          <w:sz w:val="21"/>
          <w:szCs w:val="21"/>
        </w:rPr>
        <w:t>4.1.1户内设备</w:t>
      </w:r>
    </w:p>
    <w:p w14:paraId="2220A1AF">
      <w:pPr>
        <w:ind w:firstLine="420" w:firstLineChars="200"/>
        <w:rPr>
          <w:rFonts w:ascii="宋体" w:hAnsi="宋体" w:eastAsia="宋体" w:cs="宋体"/>
        </w:rPr>
      </w:pPr>
      <w:r>
        <w:rPr>
          <w:rFonts w:hint="eastAsia" w:ascii="宋体" w:hAnsi="宋体" w:eastAsia="宋体" w:cs="宋体"/>
        </w:rPr>
        <w:t>按照 DL/T 593 的相关规定执行，并作如下补充。</w:t>
      </w:r>
    </w:p>
    <w:p w14:paraId="334E962B">
      <w:pPr>
        <w:ind w:firstLine="420" w:firstLineChars="200"/>
        <w:rPr>
          <w:rFonts w:ascii="宋体" w:hAnsi="宋体" w:eastAsia="宋体" w:cs="宋体"/>
        </w:rPr>
      </w:pPr>
      <w:r>
        <w:rPr>
          <w:rFonts w:hint="eastAsia" w:hAnsi="宋体"/>
          <w:color w:val="auto"/>
        </w:rPr>
        <w:t>SF</w:t>
      </w:r>
      <w:r>
        <w:rPr>
          <w:rFonts w:hint="eastAsia" w:hAnsi="宋体"/>
          <w:color w:val="auto"/>
          <w:vertAlign w:val="subscript"/>
        </w:rPr>
        <w:t>6</w:t>
      </w:r>
      <w:r>
        <w:rPr>
          <w:rFonts w:hint="eastAsia" w:hAnsi="宋体"/>
          <w:color w:val="auto"/>
        </w:rPr>
        <w:t>气体全绝缘环网开关柜</w:t>
      </w:r>
      <w:r>
        <w:rPr>
          <w:rFonts w:hint="eastAsia" w:ascii="宋体" w:hAnsi="宋体" w:eastAsia="宋体" w:cs="宋体"/>
        </w:rPr>
        <w:t>自动化成套设备使用条件：</w:t>
      </w:r>
    </w:p>
    <w:p w14:paraId="7C53A326">
      <w:pPr>
        <w:numPr>
          <w:ilvl w:val="0"/>
          <w:numId w:val="1"/>
        </w:numPr>
        <w:rPr>
          <w:rFonts w:ascii="宋体" w:hAnsi="宋体" w:eastAsia="宋体" w:cs="宋体"/>
          <w:szCs w:val="21"/>
        </w:rPr>
      </w:pPr>
      <w:r>
        <w:rPr>
          <w:rFonts w:hint="eastAsia" w:ascii="宋体" w:hAnsi="宋体" w:eastAsia="宋体" w:cs="宋体"/>
          <w:szCs w:val="21"/>
        </w:rPr>
        <w:t>环境温度范围：-25℃～+55℃；</w:t>
      </w:r>
    </w:p>
    <w:p w14:paraId="3E2C2883">
      <w:pPr>
        <w:numPr>
          <w:ilvl w:val="0"/>
          <w:numId w:val="1"/>
        </w:numPr>
        <w:rPr>
          <w:rFonts w:ascii="宋体" w:hAnsi="宋体" w:eastAsia="宋体" w:cs="宋体"/>
          <w:szCs w:val="21"/>
        </w:rPr>
      </w:pPr>
      <w:r>
        <w:rPr>
          <w:rFonts w:hint="eastAsia" w:ascii="宋体" w:hAnsi="宋体" w:eastAsia="宋体" w:cs="宋体"/>
          <w:szCs w:val="21"/>
        </w:rPr>
        <w:t>环境相对湿度（在25℃时）：</w:t>
      </w:r>
    </w:p>
    <w:p w14:paraId="6274B8E7">
      <w:pPr>
        <w:ind w:left="840"/>
        <w:rPr>
          <w:rFonts w:ascii="宋体" w:hAnsi="宋体" w:eastAsia="宋体" w:cs="宋体"/>
          <w:szCs w:val="21"/>
        </w:rPr>
      </w:pPr>
      <w:r>
        <w:rPr>
          <w:rFonts w:hint="eastAsia" w:ascii="宋体" w:hAnsi="宋体" w:eastAsia="宋体" w:cs="宋体"/>
          <w:szCs w:val="21"/>
        </w:rPr>
        <w:t>日平均值：≤95%</w:t>
      </w:r>
    </w:p>
    <w:p w14:paraId="651A9101">
      <w:pPr>
        <w:ind w:left="840"/>
        <w:rPr>
          <w:rFonts w:ascii="宋体" w:hAnsi="宋体" w:eastAsia="宋体" w:cs="宋体"/>
          <w:szCs w:val="21"/>
        </w:rPr>
      </w:pPr>
      <w:r>
        <w:rPr>
          <w:rFonts w:hint="eastAsia" w:ascii="宋体" w:hAnsi="宋体" w:eastAsia="宋体" w:cs="宋体"/>
          <w:szCs w:val="21"/>
        </w:rPr>
        <w:t>月平均值：≤90%</w:t>
      </w:r>
    </w:p>
    <w:p w14:paraId="3F5AC5A4">
      <w:pPr>
        <w:numPr>
          <w:ilvl w:val="0"/>
          <w:numId w:val="1"/>
        </w:numPr>
        <w:rPr>
          <w:rFonts w:ascii="宋体" w:hAnsi="宋体" w:eastAsia="宋体" w:cs="宋体"/>
          <w:szCs w:val="21"/>
        </w:rPr>
      </w:pPr>
      <w:r>
        <w:rPr>
          <w:rFonts w:hint="eastAsia" w:ascii="宋体" w:hAnsi="宋体" w:eastAsia="宋体" w:cs="宋体"/>
          <w:szCs w:val="21"/>
        </w:rPr>
        <w:t>污秽等级：不低</w:t>
      </w:r>
      <w:r>
        <w:rPr>
          <w:rFonts w:hint="eastAsia" w:ascii="宋体" w:hAnsi="宋体" w:eastAsia="宋体" w:cs="宋体"/>
        </w:rPr>
        <w:t>于c级</w:t>
      </w:r>
      <w:r>
        <w:rPr>
          <w:rFonts w:hint="eastAsia" w:ascii="宋体" w:hAnsi="宋体" w:eastAsia="宋体" w:cs="宋体"/>
          <w:szCs w:val="21"/>
        </w:rPr>
        <w:t>（户内）</w:t>
      </w:r>
    </w:p>
    <w:p w14:paraId="221FB444">
      <w:pPr>
        <w:numPr>
          <w:ilvl w:val="0"/>
          <w:numId w:val="1"/>
        </w:numPr>
        <w:rPr>
          <w:rFonts w:ascii="宋体" w:hAnsi="宋体" w:eastAsia="宋体" w:cs="宋体"/>
          <w:szCs w:val="21"/>
        </w:rPr>
      </w:pPr>
      <w:r>
        <w:rPr>
          <w:rFonts w:hint="eastAsia" w:ascii="宋体" w:hAnsi="宋体" w:eastAsia="宋体" w:cs="宋体"/>
          <w:szCs w:val="21"/>
        </w:rPr>
        <w:t>地震烈度：Ⅷ度</w:t>
      </w:r>
    </w:p>
    <w:p w14:paraId="2B29B092">
      <w:pPr>
        <w:numPr>
          <w:ilvl w:val="0"/>
          <w:numId w:val="1"/>
        </w:numPr>
        <w:rPr>
          <w:rFonts w:ascii="宋体" w:hAnsi="宋体" w:eastAsia="宋体" w:cs="宋体"/>
          <w:szCs w:val="21"/>
        </w:rPr>
      </w:pPr>
      <w:r>
        <w:rPr>
          <w:rFonts w:hint="eastAsia" w:ascii="宋体" w:hAnsi="宋体" w:eastAsia="宋体" w:cs="宋体"/>
          <w:szCs w:val="21"/>
        </w:rPr>
        <w:t>安装地点：户内</w:t>
      </w:r>
    </w:p>
    <w:p w14:paraId="3E3E8A95">
      <w:pPr>
        <w:pStyle w:val="6"/>
        <w:spacing w:before="0" w:after="0" w:line="360" w:lineRule="auto"/>
        <w:rPr>
          <w:rFonts w:ascii="黑体" w:hAnsi="黑体" w:eastAsia="黑体" w:cs="黑体"/>
          <w:b w:val="0"/>
          <w:bCs/>
          <w:sz w:val="21"/>
          <w:szCs w:val="21"/>
        </w:rPr>
      </w:pPr>
      <w:r>
        <w:rPr>
          <w:rFonts w:hint="eastAsia" w:ascii="黑体" w:hAnsi="黑体" w:eastAsia="黑体" w:cs="黑体"/>
          <w:b w:val="0"/>
          <w:bCs/>
          <w:sz w:val="21"/>
          <w:szCs w:val="21"/>
        </w:rPr>
        <w:t>4.1.2户外设备</w:t>
      </w:r>
    </w:p>
    <w:p w14:paraId="3935E186">
      <w:pPr>
        <w:ind w:firstLine="420" w:firstLineChars="200"/>
        <w:rPr>
          <w:rFonts w:ascii="宋体" w:hAnsi="宋体" w:eastAsia="宋体" w:cs="宋体"/>
        </w:rPr>
      </w:pPr>
      <w:r>
        <w:rPr>
          <w:rFonts w:hint="eastAsia" w:ascii="宋体" w:hAnsi="宋体" w:eastAsia="宋体" w:cs="宋体"/>
        </w:rPr>
        <w:t>按照 DL/T 593 的相关规定执行，并作如下补充。</w:t>
      </w:r>
    </w:p>
    <w:p w14:paraId="594CA1B1">
      <w:pPr>
        <w:ind w:firstLine="420" w:firstLineChars="200"/>
        <w:rPr>
          <w:rFonts w:ascii="宋体" w:hAnsi="宋体" w:eastAsia="宋体" w:cs="宋体"/>
        </w:rPr>
      </w:pPr>
      <w:r>
        <w:rPr>
          <w:rFonts w:ascii="宋体" w:hAnsi="宋体" w:eastAsia="宋体" w:cs="宋体"/>
          <w:color w:val="auto"/>
        </w:rPr>
        <w:t>SF</w:t>
      </w:r>
      <w:r>
        <w:rPr>
          <w:rFonts w:ascii="宋体" w:hAnsi="宋体" w:eastAsia="宋体" w:cs="宋体"/>
          <w:color w:val="auto"/>
          <w:vertAlign w:val="subscript"/>
        </w:rPr>
        <w:t>6</w:t>
      </w:r>
      <w:r>
        <w:rPr>
          <w:rFonts w:hint="eastAsia" w:ascii="宋体" w:hAnsi="宋体" w:eastAsia="宋体" w:cs="宋体"/>
          <w:color w:val="auto"/>
          <w:kern w:val="2"/>
          <w:szCs w:val="24"/>
        </w:rPr>
        <w:t>气体全绝缘环网开关箱</w:t>
      </w:r>
      <w:r>
        <w:rPr>
          <w:rFonts w:hint="eastAsia" w:ascii="宋体" w:hAnsi="宋体" w:eastAsia="宋体" w:cs="宋体"/>
        </w:rPr>
        <w:t>使用条件：</w:t>
      </w:r>
    </w:p>
    <w:p w14:paraId="5B8002D9">
      <w:pPr>
        <w:numPr>
          <w:ilvl w:val="0"/>
          <w:numId w:val="2"/>
        </w:numPr>
        <w:rPr>
          <w:rFonts w:ascii="宋体" w:hAnsi="宋体" w:eastAsia="宋体" w:cs="宋体"/>
          <w:szCs w:val="21"/>
        </w:rPr>
      </w:pPr>
      <w:r>
        <w:rPr>
          <w:rFonts w:hint="eastAsia" w:ascii="宋体" w:hAnsi="宋体" w:eastAsia="宋体" w:cs="宋体"/>
          <w:szCs w:val="21"/>
        </w:rPr>
        <w:t>环境温度范围：-25℃～+55℃；</w:t>
      </w:r>
    </w:p>
    <w:p w14:paraId="7F0405D4">
      <w:pPr>
        <w:numPr>
          <w:ilvl w:val="0"/>
          <w:numId w:val="2"/>
        </w:numPr>
        <w:rPr>
          <w:rFonts w:ascii="宋体" w:hAnsi="宋体" w:eastAsia="宋体" w:cs="宋体"/>
          <w:szCs w:val="21"/>
        </w:rPr>
      </w:pPr>
      <w:r>
        <w:rPr>
          <w:rFonts w:hint="eastAsia" w:ascii="宋体" w:hAnsi="宋体" w:eastAsia="宋体" w:cs="宋体"/>
          <w:szCs w:val="21"/>
        </w:rPr>
        <w:t>环境相对湿度（在25℃时）：</w:t>
      </w:r>
    </w:p>
    <w:p w14:paraId="64BD7A1F">
      <w:pPr>
        <w:ind w:left="840"/>
        <w:rPr>
          <w:rFonts w:ascii="宋体" w:hAnsi="宋体" w:eastAsia="宋体" w:cs="宋体"/>
          <w:szCs w:val="21"/>
        </w:rPr>
      </w:pPr>
      <w:r>
        <w:rPr>
          <w:rFonts w:hint="eastAsia" w:ascii="宋体" w:hAnsi="宋体" w:eastAsia="宋体" w:cs="宋体"/>
          <w:szCs w:val="21"/>
        </w:rPr>
        <w:t>日平均值：≤95%</w:t>
      </w:r>
    </w:p>
    <w:p w14:paraId="1B05075F">
      <w:pPr>
        <w:ind w:left="840"/>
        <w:rPr>
          <w:rFonts w:ascii="宋体" w:hAnsi="宋体" w:eastAsia="宋体" w:cs="宋体"/>
          <w:szCs w:val="21"/>
        </w:rPr>
      </w:pPr>
      <w:r>
        <w:rPr>
          <w:rFonts w:hint="eastAsia" w:ascii="宋体" w:hAnsi="宋体" w:eastAsia="宋体" w:cs="宋体"/>
          <w:szCs w:val="21"/>
        </w:rPr>
        <w:t>月平均值：≤90%</w:t>
      </w:r>
    </w:p>
    <w:p w14:paraId="24D8A91D">
      <w:pPr>
        <w:numPr>
          <w:ilvl w:val="0"/>
          <w:numId w:val="2"/>
        </w:numPr>
        <w:rPr>
          <w:rFonts w:ascii="宋体" w:hAnsi="宋体" w:eastAsia="宋体" w:cs="宋体"/>
          <w:szCs w:val="21"/>
        </w:rPr>
      </w:pPr>
      <w:r>
        <w:rPr>
          <w:rFonts w:hint="eastAsia" w:ascii="宋体" w:hAnsi="宋体" w:eastAsia="宋体" w:cs="宋体"/>
          <w:szCs w:val="21"/>
        </w:rPr>
        <w:t>污秽等级：不低于e级</w:t>
      </w:r>
    </w:p>
    <w:p w14:paraId="67E351E9">
      <w:pPr>
        <w:numPr>
          <w:ilvl w:val="0"/>
          <w:numId w:val="2"/>
        </w:numPr>
        <w:rPr>
          <w:rFonts w:ascii="宋体" w:hAnsi="宋体" w:eastAsia="宋体" w:cs="宋体"/>
          <w:szCs w:val="21"/>
        </w:rPr>
      </w:pPr>
      <w:r>
        <w:rPr>
          <w:rFonts w:hint="eastAsia" w:ascii="宋体" w:hAnsi="宋体" w:eastAsia="宋体" w:cs="宋体"/>
          <w:szCs w:val="21"/>
        </w:rPr>
        <w:t>地震烈度：Ⅷ度</w:t>
      </w:r>
    </w:p>
    <w:p w14:paraId="290B1AE7">
      <w:pPr>
        <w:numPr>
          <w:ilvl w:val="0"/>
          <w:numId w:val="2"/>
        </w:numPr>
        <w:rPr>
          <w:rFonts w:ascii="宋体" w:hAnsi="宋体" w:eastAsia="宋体" w:cs="宋体"/>
          <w:b w:val="0"/>
          <w:bCs w:val="0"/>
          <w:color w:val="auto"/>
          <w:szCs w:val="21"/>
        </w:rPr>
      </w:pPr>
      <w:r>
        <w:rPr>
          <w:rFonts w:hint="eastAsia" w:ascii="宋体" w:hAnsi="宋体" w:eastAsia="宋体" w:cs="宋体"/>
          <w:b w:val="0"/>
          <w:bCs w:val="0"/>
          <w:color w:val="auto"/>
          <w:szCs w:val="21"/>
        </w:rPr>
        <w:t>安装地点：户外</w:t>
      </w:r>
    </w:p>
    <w:p w14:paraId="495F2A95">
      <w:pPr>
        <w:pStyle w:val="5"/>
        <w:spacing w:before="0" w:after="0" w:line="360" w:lineRule="auto"/>
        <w:ind w:left="199" w:hanging="199" w:hangingChars="95"/>
        <w:rPr>
          <w:rFonts w:hint="eastAsia" w:ascii="黑体" w:hAnsi="黑体" w:cs="黑体"/>
          <w:b w:val="0"/>
          <w:bCs/>
          <w:color w:val="auto"/>
          <w:sz w:val="21"/>
          <w:szCs w:val="21"/>
        </w:rPr>
      </w:pPr>
      <w:bookmarkStart w:id="26" w:name="_Toc5128_WPSOffice_Level2"/>
      <w:r>
        <w:rPr>
          <w:rFonts w:hint="eastAsia" w:ascii="黑体" w:hAnsi="黑体" w:cs="黑体"/>
          <w:b w:val="0"/>
          <w:bCs/>
          <w:color w:val="auto"/>
          <w:sz w:val="21"/>
          <w:szCs w:val="21"/>
        </w:rPr>
        <w:t>4.2特殊使用条件</w:t>
      </w:r>
      <w:bookmarkEnd w:id="26"/>
    </w:p>
    <w:p w14:paraId="20278411">
      <w:pPr>
        <w:rPr>
          <w:rFonts w:ascii="宋体" w:hAnsi="宋体" w:eastAsia="宋体" w:cs="宋体"/>
          <w:b w:val="0"/>
          <w:bCs w:val="0"/>
          <w:color w:val="auto"/>
        </w:rPr>
      </w:pPr>
      <w:r>
        <w:rPr>
          <w:rFonts w:hint="eastAsia" w:ascii="宋体" w:hAnsi="宋体" w:eastAsia="宋体" w:cs="宋体"/>
          <w:b w:val="0"/>
          <w:bCs w:val="0"/>
          <w:color w:val="auto"/>
        </w:rPr>
        <w:t>按照 DL/T 593 的相关规定执行，并作如下补充。</w:t>
      </w:r>
    </w:p>
    <w:p w14:paraId="161A70C8">
      <w:pPr>
        <w:pStyle w:val="42"/>
        <w:adjustRightInd w:val="0"/>
        <w:spacing w:line="240" w:lineRule="auto"/>
        <w:ind w:firstLine="0" w:firstLineChars="0"/>
        <w:rPr>
          <w:rFonts w:ascii="宋体" w:hAnsi="宋体" w:eastAsia="宋体" w:cs="宋体"/>
          <w:b w:val="0"/>
          <w:bCs w:val="0"/>
          <w:color w:val="auto"/>
          <w:kern w:val="2"/>
          <w:sz w:val="21"/>
          <w:szCs w:val="21"/>
        </w:rPr>
      </w:pPr>
      <w:r>
        <w:rPr>
          <w:rFonts w:ascii="Times New Roman" w:hAnsi="Times New Roman" w:eastAsiaTheme="minorEastAsia"/>
          <w:b w:val="0"/>
          <w:bCs w:val="0"/>
          <w:color w:val="auto"/>
          <w:sz w:val="21"/>
          <w:szCs w:val="21"/>
        </w:rPr>
        <w:t xml:space="preserve">4.2.1 </w:t>
      </w:r>
      <w:r>
        <w:rPr>
          <w:rFonts w:ascii="Times New Roman" w:hAnsi="Times New Roman" w:eastAsiaTheme="minorEastAsia"/>
          <w:b w:val="0"/>
          <w:bCs w:val="0"/>
          <w:color w:val="auto"/>
          <w:kern w:val="2"/>
          <w:sz w:val="21"/>
          <w:szCs w:val="21"/>
        </w:rPr>
        <w:t>对周围环境空气温度高</w:t>
      </w:r>
      <w:r>
        <w:rPr>
          <w:rFonts w:hint="eastAsia" w:ascii="宋体" w:hAnsi="宋体" w:eastAsia="宋体" w:cs="宋体"/>
          <w:b w:val="0"/>
          <w:bCs w:val="0"/>
          <w:color w:val="auto"/>
          <w:kern w:val="2"/>
          <w:sz w:val="21"/>
          <w:szCs w:val="21"/>
        </w:rPr>
        <w:t>于40℃处的设备，其外绝缘在干燥状态下的试验电压应取本标准的额定耐受电压值乘以温度校正因数</w:t>
      </w:r>
      <w:r>
        <w:rPr>
          <w:rFonts w:hint="eastAsia" w:ascii="宋体" w:hAnsi="宋体" w:eastAsia="宋体" w:cs="宋体"/>
          <w:b w:val="0"/>
          <w:bCs w:val="0"/>
          <w:i/>
          <w:color w:val="auto"/>
          <w:kern w:val="2"/>
          <w:sz w:val="21"/>
          <w:szCs w:val="21"/>
        </w:rPr>
        <w:t>K</w:t>
      </w:r>
      <w:r>
        <w:rPr>
          <w:rFonts w:hint="eastAsia" w:ascii="宋体" w:hAnsi="宋体" w:eastAsia="宋体" w:cs="宋体"/>
          <w:b w:val="0"/>
          <w:bCs w:val="0"/>
          <w:color w:val="auto"/>
          <w:kern w:val="2"/>
          <w:sz w:val="21"/>
          <w:szCs w:val="21"/>
        </w:rPr>
        <w:t>t</w:t>
      </w:r>
    </w:p>
    <w:p w14:paraId="5A31E324">
      <w:pPr>
        <w:pStyle w:val="42"/>
        <w:adjustRightInd w:val="0"/>
        <w:spacing w:line="240" w:lineRule="auto"/>
        <w:jc w:val="center"/>
        <w:rPr>
          <w:rFonts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rPr>
        <w:object>
          <v:shape id="_x0000_i1025" o:spt="75" type="#_x0000_t75" style="height:18.75pt;width:117pt;" o:ole="t" filled="f" o:preferrelative="t" stroked="f" coordsize="21600,21600">
            <v:path/>
            <v:fill on="f" focussize="0,0"/>
            <v:stroke on="f" joinstyle="miter"/>
            <v:imagedata r:id="rId15" o:title=""/>
            <o:lock v:ext="edit" aspectratio="t"/>
            <w10:wrap type="none"/>
            <w10:anchorlock/>
          </v:shape>
          <o:OLEObject Type="Embed" ProgID="Equation.3" ShapeID="_x0000_i1025" DrawAspect="Content" ObjectID="_1468075725" r:id="rId14">
            <o:LockedField>false</o:LockedField>
          </o:OLEObject>
        </w:object>
      </w:r>
    </w:p>
    <w:p w14:paraId="15043BB6">
      <w:pPr>
        <w:pStyle w:val="42"/>
        <w:adjustRightInd w:val="0"/>
        <w:spacing w:line="240" w:lineRule="auto"/>
        <w:rPr>
          <w:rFonts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rPr>
        <w:t>式中：</w:t>
      </w:r>
      <w:r>
        <w:rPr>
          <w:rFonts w:hint="eastAsia" w:ascii="宋体" w:hAnsi="宋体" w:eastAsia="宋体" w:cs="宋体"/>
          <w:b w:val="0"/>
          <w:bCs w:val="0"/>
          <w:i/>
          <w:color w:val="auto"/>
          <w:kern w:val="2"/>
          <w:sz w:val="21"/>
          <w:szCs w:val="21"/>
        </w:rPr>
        <w:t>T</w:t>
      </w:r>
      <w:r>
        <w:rPr>
          <w:rFonts w:hint="eastAsia" w:ascii="宋体" w:hAnsi="宋体" w:eastAsia="宋体" w:cs="宋体"/>
          <w:b w:val="0"/>
          <w:bCs w:val="0"/>
          <w:color w:val="auto"/>
          <w:kern w:val="2"/>
          <w:sz w:val="21"/>
          <w:szCs w:val="21"/>
        </w:rPr>
        <w:t xml:space="preserve"> ——环境空气温度，（单位：℃）</w:t>
      </w:r>
    </w:p>
    <w:p w14:paraId="442EB2BE">
      <w:pPr>
        <w:pStyle w:val="42"/>
        <w:adjustRightInd w:val="0"/>
        <w:snapToGrid w:val="0"/>
        <w:spacing w:line="240" w:lineRule="auto"/>
        <w:ind w:firstLine="0" w:firstLineChars="0"/>
        <w:rPr>
          <w:rFonts w:ascii="宋体" w:hAnsi="宋体" w:eastAsia="宋体" w:cs="宋体"/>
          <w:b w:val="0"/>
          <w:bCs w:val="0"/>
          <w:color w:val="auto"/>
          <w:sz w:val="21"/>
          <w:szCs w:val="21"/>
        </w:rPr>
      </w:pPr>
      <w:r>
        <w:rPr>
          <w:rFonts w:ascii="Times New Roman" w:hAnsi="Times New Roman" w:eastAsiaTheme="minorEastAsia"/>
          <w:b w:val="0"/>
          <w:bCs w:val="0"/>
          <w:color w:val="auto"/>
          <w:sz w:val="21"/>
          <w:szCs w:val="21"/>
        </w:rPr>
        <w:t xml:space="preserve">4.2.2 </w:t>
      </w:r>
      <w:r>
        <w:rPr>
          <w:rFonts w:hint="eastAsia" w:ascii="宋体" w:hAnsi="宋体" w:eastAsia="宋体" w:cs="宋体"/>
          <w:b w:val="0"/>
          <w:bCs w:val="0"/>
          <w:color w:val="auto"/>
          <w:kern w:val="2"/>
          <w:sz w:val="21"/>
          <w:szCs w:val="21"/>
        </w:rPr>
        <w:t>对用于海拔高于1000m，但不超过4000m 处的设备的外绝缘，海拔每升高100m，绝缘强度约降低1%，在海拔不高于1000m 的地点试验时，其试验电压应按本标准规定的额定耐受电压乘以海拔校正因数</w:t>
      </w:r>
      <w:r>
        <w:rPr>
          <w:rFonts w:hint="eastAsia" w:ascii="宋体" w:hAnsi="宋体" w:eastAsia="宋体" w:cs="宋体"/>
          <w:b w:val="0"/>
          <w:bCs w:val="0"/>
          <w:i/>
          <w:color w:val="auto"/>
          <w:kern w:val="2"/>
          <w:sz w:val="21"/>
          <w:szCs w:val="21"/>
        </w:rPr>
        <w:t>K</w:t>
      </w:r>
      <w:r>
        <w:rPr>
          <w:rFonts w:hint="eastAsia" w:ascii="宋体" w:hAnsi="宋体" w:eastAsia="宋体" w:cs="宋体"/>
          <w:b w:val="0"/>
          <w:bCs w:val="0"/>
          <w:color w:val="auto"/>
          <w:kern w:val="2"/>
          <w:sz w:val="21"/>
          <w:szCs w:val="21"/>
        </w:rPr>
        <w:t>a。</w:t>
      </w:r>
    </w:p>
    <w:p w14:paraId="208D4206">
      <w:pPr>
        <w:pStyle w:val="42"/>
        <w:adjustRightInd w:val="0"/>
        <w:spacing w:line="240" w:lineRule="auto"/>
        <w:jc w:val="center"/>
        <w:rPr>
          <w:rFonts w:ascii="Times New Roman" w:hAnsi="Times New Roman" w:eastAsiaTheme="minorEastAsia"/>
          <w:b w:val="0"/>
          <w:bCs w:val="0"/>
          <w:color w:val="auto"/>
          <w:kern w:val="2"/>
          <w:sz w:val="21"/>
          <w:szCs w:val="21"/>
        </w:rPr>
      </w:pPr>
      <m:oMathPara>
        <m:oMath>
          <m:sSub>
            <m:sSubPr>
              <m:ctrlPr>
                <w:rPr>
                  <w:rFonts w:ascii="Cambria Math" w:hAnsi="Cambria Math" w:eastAsiaTheme="minorEastAsia"/>
                  <w:b w:val="0"/>
                  <w:bCs w:val="0"/>
                  <w:i/>
                  <w:color w:val="auto"/>
                  <w:kern w:val="2"/>
                  <w:sz w:val="21"/>
                  <w:szCs w:val="21"/>
                </w:rPr>
              </m:ctrlPr>
            </m:sSubPr>
            <m:e>
              <m:r>
                <m:rPr/>
                <w:rPr>
                  <w:rFonts w:hint="default" w:ascii="Cambria Math" w:hAnsi="Cambria Math" w:eastAsiaTheme="minorEastAsia"/>
                  <w:color w:val="auto"/>
                  <w:kern w:val="2"/>
                  <w:sz w:val="21"/>
                  <w:szCs w:val="21"/>
                </w:rPr>
                <m:t>K</m:t>
              </m:r>
              <m:ctrlPr>
                <w:rPr>
                  <w:rFonts w:ascii="Cambria Math" w:hAnsi="Cambria Math" w:eastAsiaTheme="minorEastAsia"/>
                  <w:b w:val="0"/>
                  <w:bCs w:val="0"/>
                  <w:i/>
                  <w:color w:val="auto"/>
                  <w:kern w:val="2"/>
                  <w:sz w:val="21"/>
                  <w:szCs w:val="21"/>
                </w:rPr>
              </m:ctrlPr>
            </m:e>
            <m:sub>
              <m:r>
                <m:rPr/>
                <w:rPr>
                  <w:rFonts w:hint="default" w:ascii="Cambria Math" w:hAnsi="Cambria Math" w:eastAsiaTheme="minorEastAsia"/>
                  <w:color w:val="auto"/>
                  <w:kern w:val="2"/>
                  <w:sz w:val="21"/>
                  <w:szCs w:val="21"/>
                </w:rPr>
                <m:t>a</m:t>
              </m:r>
              <m:ctrlPr>
                <w:rPr>
                  <w:rFonts w:ascii="Cambria Math" w:hAnsi="Cambria Math" w:eastAsiaTheme="minorEastAsia"/>
                  <w:b w:val="0"/>
                  <w:bCs w:val="0"/>
                  <w:i/>
                  <w:color w:val="auto"/>
                  <w:kern w:val="2"/>
                  <w:sz w:val="21"/>
                  <w:szCs w:val="21"/>
                </w:rPr>
              </m:ctrlPr>
            </m:sub>
          </m:sSub>
          <m:r>
            <m:rPr/>
            <w:rPr>
              <w:rFonts w:ascii="Cambria Math" w:hAnsi="Cambria Math" w:eastAsiaTheme="minorEastAsia"/>
              <w:color w:val="auto"/>
              <w:kern w:val="2"/>
              <w:sz w:val="21"/>
              <w:szCs w:val="21"/>
            </w:rPr>
            <m:t>=</m:t>
          </m:r>
          <m:sSup>
            <m:sSupPr>
              <m:ctrlPr>
                <w:rPr>
                  <w:rFonts w:ascii="Cambria Math" w:hAnsi="Cambria Math" w:eastAsiaTheme="minorEastAsia"/>
                  <w:b w:val="0"/>
                  <w:bCs w:val="0"/>
                  <w:i/>
                  <w:color w:val="auto"/>
                  <w:kern w:val="2"/>
                  <w:sz w:val="21"/>
                  <w:szCs w:val="21"/>
                </w:rPr>
              </m:ctrlPr>
            </m:sSupPr>
            <m:e>
              <m:r>
                <m:rPr/>
                <w:rPr>
                  <w:rFonts w:hint="default" w:ascii="Cambria Math" w:hAnsi="Cambria Math" w:eastAsiaTheme="minorEastAsia"/>
                  <w:color w:val="auto"/>
                  <w:sz w:val="21"/>
                  <w:szCs w:val="21"/>
                </w:rPr>
                <m:t>e</m:t>
              </m:r>
              <m:ctrlPr>
                <w:rPr>
                  <w:rFonts w:ascii="Cambria Math" w:hAnsi="Cambria Math" w:eastAsiaTheme="minorEastAsia"/>
                  <w:b w:val="0"/>
                  <w:bCs w:val="0"/>
                  <w:i/>
                  <w:color w:val="auto"/>
                  <w:kern w:val="2"/>
                  <w:sz w:val="21"/>
                  <w:szCs w:val="21"/>
                </w:rPr>
              </m:ctrlPr>
            </m:e>
            <m:sup>
              <m:r>
                <m:rPr/>
                <w:rPr>
                  <w:rFonts w:hint="default" w:ascii="Cambria Math" w:hAnsi="Cambria Math" w:eastAsiaTheme="minorEastAsia"/>
                  <w:color w:val="auto"/>
                  <w:sz w:val="21"/>
                  <w:szCs w:val="21"/>
                </w:rPr>
                <m:t>m(H−1000)/8150</m:t>
              </m:r>
              <m:ctrlPr>
                <w:rPr>
                  <w:rFonts w:ascii="Cambria Math" w:hAnsi="Cambria Math" w:eastAsiaTheme="minorEastAsia"/>
                  <w:b w:val="0"/>
                  <w:bCs w:val="0"/>
                  <w:i/>
                  <w:color w:val="auto"/>
                  <w:kern w:val="2"/>
                  <w:sz w:val="21"/>
                  <w:szCs w:val="21"/>
                </w:rPr>
              </m:ctrlPr>
            </m:sup>
          </m:sSup>
        </m:oMath>
      </m:oMathPara>
    </w:p>
    <w:p w14:paraId="1F9C48F7">
      <w:pPr>
        <w:pStyle w:val="42"/>
        <w:adjustRightInd w:val="0"/>
        <w:spacing w:line="240" w:lineRule="auto"/>
        <w:rPr>
          <w:rFonts w:ascii="Times New Roman" w:hAnsi="Times New Roman" w:eastAsiaTheme="minorEastAsia"/>
          <w:b w:val="0"/>
          <w:bCs w:val="0"/>
          <w:color w:val="auto"/>
          <w:kern w:val="2"/>
          <w:sz w:val="21"/>
          <w:szCs w:val="21"/>
        </w:rPr>
      </w:pPr>
      <w:r>
        <w:rPr>
          <w:rFonts w:ascii="Times New Roman" w:hAnsi="Times New Roman" w:eastAsiaTheme="minorEastAsia"/>
          <w:b w:val="0"/>
          <w:bCs w:val="0"/>
          <w:color w:val="auto"/>
          <w:kern w:val="2"/>
          <w:sz w:val="21"/>
          <w:szCs w:val="21"/>
        </w:rPr>
        <w:t>式中：</w:t>
      </w:r>
      <w:r>
        <w:rPr>
          <w:rFonts w:ascii="Times New Roman" w:hAnsi="Times New Roman" w:eastAsiaTheme="minorEastAsia"/>
          <w:b w:val="0"/>
          <w:bCs w:val="0"/>
          <w:i/>
          <w:color w:val="auto"/>
          <w:kern w:val="2"/>
          <w:sz w:val="21"/>
          <w:szCs w:val="21"/>
        </w:rPr>
        <w:t>H</w:t>
      </w:r>
      <w:r>
        <w:rPr>
          <w:rFonts w:ascii="Times New Roman" w:hAnsi="Times New Roman" w:eastAsiaTheme="minorEastAsia"/>
          <w:b w:val="0"/>
          <w:bCs w:val="0"/>
          <w:color w:val="auto"/>
          <w:kern w:val="2"/>
          <w:sz w:val="21"/>
          <w:szCs w:val="21"/>
        </w:rPr>
        <w:t xml:space="preserve"> ——设备安装地点的海拔高度，（单位：m）。</w:t>
      </w:r>
    </w:p>
    <w:p w14:paraId="3D75F8C8">
      <w:pPr>
        <w:ind w:firstLine="420" w:firstLineChars="200"/>
        <w:rPr>
          <w:rFonts w:ascii="宋体" w:hAnsi="宋体" w:eastAsia="宋体" w:cs="宋体"/>
          <w:b w:val="0"/>
          <w:bCs w:val="0"/>
          <w:color w:val="auto"/>
          <w:szCs w:val="21"/>
        </w:rPr>
      </w:pPr>
      <w:r>
        <w:rPr>
          <w:rFonts w:hint="eastAsia" w:ascii="宋体" w:hAnsi="宋体" w:eastAsia="宋体" w:cs="宋体"/>
          <w:b w:val="0"/>
          <w:bCs w:val="0"/>
          <w:color w:val="auto"/>
          <w:szCs w:val="21"/>
        </w:rPr>
        <w:t>m为简单起见，取下述确定值：</w:t>
      </w:r>
    </w:p>
    <w:p w14:paraId="210B4DE3">
      <w:pPr>
        <w:ind w:firstLine="420" w:firstLineChars="200"/>
        <w:rPr>
          <w:rFonts w:ascii="宋体" w:hAnsi="宋体" w:eastAsia="宋体" w:cs="宋体"/>
          <w:b w:val="0"/>
          <w:bCs w:val="0"/>
          <w:color w:val="auto"/>
          <w:szCs w:val="21"/>
        </w:rPr>
      </w:pPr>
      <w:r>
        <w:rPr>
          <w:rFonts w:hint="eastAsia" w:ascii="宋体" w:hAnsi="宋体" w:eastAsia="宋体" w:cs="宋体"/>
          <w:b w:val="0"/>
          <w:bCs w:val="0"/>
          <w:color w:val="auto"/>
          <w:szCs w:val="21"/>
        </w:rPr>
        <w:t>对于工频、雷电冲击和相间操作冲击电压，m=1；</w:t>
      </w:r>
    </w:p>
    <w:p w14:paraId="50ACE924">
      <w:pPr>
        <w:ind w:firstLine="420" w:firstLineChars="200"/>
        <w:rPr>
          <w:rFonts w:ascii="宋体" w:hAnsi="宋体" w:eastAsia="宋体" w:cs="宋体"/>
          <w:b w:val="0"/>
          <w:bCs w:val="0"/>
          <w:color w:val="auto"/>
          <w:szCs w:val="21"/>
        </w:rPr>
      </w:pPr>
      <w:r>
        <w:rPr>
          <w:rFonts w:hint="eastAsia" w:ascii="宋体" w:hAnsi="宋体" w:eastAsia="宋体" w:cs="宋体"/>
          <w:b w:val="0"/>
          <w:bCs w:val="0"/>
          <w:color w:val="auto"/>
          <w:szCs w:val="21"/>
        </w:rPr>
        <w:t>对于纵绝缘操作冲击电压，m=0.9；</w:t>
      </w:r>
    </w:p>
    <w:p w14:paraId="6F8DC8B6">
      <w:pPr>
        <w:pStyle w:val="42"/>
        <w:adjustRightInd w:val="0"/>
        <w:spacing w:line="240" w:lineRule="auto"/>
        <w:rPr>
          <w:rFonts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rPr>
        <w:t>对于相对地操作冲击电压，m=0.75。</w:t>
      </w:r>
    </w:p>
    <w:p w14:paraId="129F379D">
      <w:pPr>
        <w:pStyle w:val="42"/>
        <w:adjustRightInd w:val="0"/>
        <w:spacing w:line="240" w:lineRule="auto"/>
        <w:rPr>
          <w:rFonts w:ascii="宋体" w:hAnsi="宋体" w:eastAsia="宋体" w:cs="宋体"/>
          <w:b w:val="0"/>
          <w:bCs w:val="0"/>
          <w:color w:val="auto"/>
          <w:kern w:val="2"/>
          <w:sz w:val="21"/>
          <w:szCs w:val="21"/>
        </w:rPr>
      </w:pPr>
      <w:r>
        <w:rPr>
          <w:rFonts w:hint="eastAsia" w:ascii="宋体" w:hAnsi="宋体" w:eastAsia="宋体" w:cs="宋体"/>
          <w:b w:val="0"/>
          <w:bCs w:val="0"/>
          <w:color w:val="auto"/>
          <w:kern w:val="2"/>
          <w:sz w:val="21"/>
          <w:szCs w:val="21"/>
        </w:rPr>
        <w:t>如用户有特殊要求,应由 SF</w:t>
      </w:r>
      <w:r>
        <w:rPr>
          <w:rFonts w:ascii="宋体" w:hAnsi="宋体" w:eastAsia="宋体" w:cs="宋体"/>
          <w:b w:val="0"/>
          <w:bCs w:val="0"/>
          <w:color w:val="auto"/>
          <w:kern w:val="2"/>
          <w:sz w:val="21"/>
          <w:szCs w:val="21"/>
          <w:vertAlign w:val="subscript"/>
        </w:rPr>
        <w:t>6</w:t>
      </w:r>
      <w:r>
        <w:rPr>
          <w:rFonts w:hint="eastAsia" w:ascii="宋体" w:hAnsi="宋体" w:eastAsia="宋体" w:cs="宋体"/>
          <w:b w:val="0"/>
          <w:bCs w:val="0"/>
          <w:color w:val="auto"/>
          <w:kern w:val="2"/>
          <w:sz w:val="21"/>
          <w:szCs w:val="21"/>
        </w:rPr>
        <w:t xml:space="preserve"> 气体全绝缘环网开关柜自动化成套设备制造商与用户另行商定。</w:t>
      </w:r>
    </w:p>
    <w:bookmarkEnd w:id="22"/>
    <w:bookmarkEnd w:id="23"/>
    <w:bookmarkEnd w:id="24"/>
    <w:p w14:paraId="0CF6F0C7">
      <w:pPr>
        <w:spacing w:line="360" w:lineRule="auto"/>
        <w:rPr>
          <w:rFonts w:ascii="黑体" w:hAnsi="宋体" w:eastAsia="黑体" w:cs="黑体"/>
          <w:b w:val="0"/>
          <w:bCs w:val="0"/>
          <w:color w:val="auto"/>
          <w:szCs w:val="21"/>
        </w:rPr>
      </w:pPr>
      <w:bookmarkStart w:id="27" w:name="_Toc119488997"/>
      <w:bookmarkStart w:id="28" w:name="_Toc119492231"/>
      <w:bookmarkStart w:id="29" w:name="_Toc119491187"/>
      <w:r>
        <w:rPr>
          <w:rFonts w:hint="eastAsia" w:ascii="黑体" w:hAnsi="宋体" w:eastAsia="黑体" w:cs="黑体"/>
          <w:b w:val="0"/>
          <w:bCs w:val="0"/>
          <w:color w:val="auto"/>
          <w:szCs w:val="21"/>
        </w:rPr>
        <w:t>5 额定值</w:t>
      </w:r>
    </w:p>
    <w:p w14:paraId="0A9BAD3A">
      <w:pPr>
        <w:pStyle w:val="5"/>
        <w:keepNext w:val="0"/>
        <w:keepLines w:val="0"/>
        <w:widowControl/>
        <w:spacing w:before="0" w:after="0" w:line="360" w:lineRule="auto"/>
        <w:rPr>
          <w:rFonts w:ascii="黑体" w:hAnsi="宋体" w:cs="黑体"/>
          <w:b w:val="0"/>
          <w:bCs w:val="0"/>
          <w:color w:val="auto"/>
          <w:sz w:val="21"/>
          <w:szCs w:val="21"/>
        </w:rPr>
      </w:pPr>
      <w:r>
        <w:rPr>
          <w:rFonts w:hint="eastAsia" w:ascii="黑体" w:hAnsi="宋体" w:cs="黑体"/>
          <w:b w:val="0"/>
          <w:bCs w:val="0"/>
          <w:color w:val="auto"/>
          <w:sz w:val="21"/>
          <w:szCs w:val="21"/>
        </w:rPr>
        <w:t>5.1额定电压</w:t>
      </w:r>
    </w:p>
    <w:p w14:paraId="35B2CAA2">
      <w:pPr>
        <w:ind w:firstLine="420" w:firstLineChars="200"/>
        <w:jc w:val="left"/>
        <w:rPr>
          <w:rFonts w:ascii="黑体" w:hAnsi="宋体" w:eastAsia="宋体" w:cs="黑体"/>
          <w:szCs w:val="21"/>
        </w:rPr>
      </w:pPr>
      <w:r>
        <w:rPr>
          <w:rFonts w:hint="eastAsia" w:ascii="宋体" w:hAnsi="宋体" w:eastAsia="宋体" w:cs="宋体"/>
          <w:szCs w:val="21"/>
        </w:rPr>
        <w:t>额定电压等于开关设备和控制设备所在系统的最高电压</w:t>
      </w:r>
    </w:p>
    <w:p w14:paraId="120FB897">
      <w:pPr>
        <w:ind w:firstLine="420" w:firstLineChars="200"/>
        <w:jc w:val="left"/>
        <w:rPr>
          <w:rFonts w:ascii="Calibri" w:hAnsi="Calibri" w:eastAsia="宋体" w:cs="Times New Roman"/>
          <w:szCs w:val="21"/>
        </w:rPr>
      </w:pPr>
      <w:r>
        <w:rPr>
          <w:rFonts w:hint="eastAsia" w:ascii="宋体" w:hAnsi="宋体" w:eastAsia="宋体" w:cs="宋体"/>
          <w:kern w:val="0"/>
          <w:szCs w:val="21"/>
        </w:rPr>
        <w:t>额定电压标准值如下：Ur，12kV。</w:t>
      </w:r>
    </w:p>
    <w:p w14:paraId="17566517">
      <w:pPr>
        <w:pStyle w:val="5"/>
        <w:keepNext w:val="0"/>
        <w:keepLines w:val="0"/>
        <w:widowControl/>
        <w:spacing w:before="0" w:after="0" w:line="360" w:lineRule="auto"/>
        <w:rPr>
          <w:rFonts w:ascii="黑体" w:hAnsi="宋体" w:cs="黑体"/>
          <w:b w:val="0"/>
          <w:bCs/>
          <w:sz w:val="21"/>
          <w:szCs w:val="21"/>
        </w:rPr>
      </w:pPr>
      <w:r>
        <w:rPr>
          <w:rFonts w:hint="eastAsia" w:ascii="黑体" w:hAnsi="宋体" w:cs="黑体"/>
          <w:b w:val="0"/>
          <w:bCs/>
          <w:sz w:val="21"/>
          <w:szCs w:val="21"/>
        </w:rPr>
        <w:t>5.2额定电流</w:t>
      </w:r>
    </w:p>
    <w:p w14:paraId="7B6D65C0">
      <w:pPr>
        <w:ind w:firstLine="420" w:firstLineChars="200"/>
        <w:jc w:val="left"/>
        <w:rPr>
          <w:rFonts w:ascii="Calibri" w:hAnsi="Calibri" w:eastAsia="宋体" w:cs="Times New Roman"/>
          <w:b w:val="0"/>
          <w:bCs/>
          <w:szCs w:val="21"/>
        </w:rPr>
      </w:pPr>
      <w:r>
        <w:rPr>
          <w:rFonts w:hint="eastAsia" w:ascii="宋体" w:hAnsi="宋体" w:eastAsia="宋体" w:cs="宋体"/>
          <w:b w:val="0"/>
          <w:bCs/>
          <w:szCs w:val="21"/>
        </w:rPr>
        <w:t>开关设备和控制设备的额定电流是在规定的使用和性能条件下能持续通过的电流的有效值。</w:t>
      </w:r>
    </w:p>
    <w:p w14:paraId="27EBAF85">
      <w:pPr>
        <w:ind w:firstLine="420" w:firstLineChars="200"/>
        <w:jc w:val="left"/>
        <w:rPr>
          <w:rFonts w:ascii="Calibri" w:hAnsi="Calibri" w:eastAsia="宋体" w:cs="Times New Roman"/>
          <w:b w:val="0"/>
          <w:bCs/>
          <w:szCs w:val="21"/>
        </w:rPr>
      </w:pPr>
      <w:r>
        <w:rPr>
          <w:rFonts w:hint="eastAsia" w:ascii="宋体" w:hAnsi="宋体" w:eastAsia="宋体" w:cs="宋体"/>
          <w:b w:val="0"/>
          <w:bCs/>
          <w:szCs w:val="21"/>
        </w:rPr>
        <w:t>额定电流应从GB/T 762中规定的R10系列中选取。</w:t>
      </w:r>
    </w:p>
    <w:p w14:paraId="1AE4BA8F">
      <w:pPr>
        <w:pStyle w:val="5"/>
        <w:keepNext w:val="0"/>
        <w:keepLines w:val="0"/>
        <w:widowControl/>
        <w:spacing w:before="0" w:after="0" w:line="360" w:lineRule="auto"/>
        <w:rPr>
          <w:rFonts w:ascii="黑体" w:hAnsi="宋体" w:cs="黑体"/>
          <w:b w:val="0"/>
          <w:bCs/>
          <w:sz w:val="21"/>
          <w:szCs w:val="21"/>
        </w:rPr>
      </w:pPr>
      <w:r>
        <w:rPr>
          <w:rFonts w:hint="eastAsia" w:ascii="黑体" w:hAnsi="宋体" w:cs="黑体"/>
          <w:b w:val="0"/>
          <w:bCs/>
          <w:sz w:val="21"/>
          <w:szCs w:val="21"/>
        </w:rPr>
        <w:t xml:space="preserve">5.3额定短时耐受电流、 额定峰值耐受电流、 额定短路持续时间 </w:t>
      </w:r>
    </w:p>
    <w:p w14:paraId="557A6547">
      <w:pPr>
        <w:autoSpaceDE w:val="0"/>
        <w:autoSpaceDN w:val="0"/>
        <w:adjustRightInd w:val="0"/>
        <w:ind w:firstLine="420" w:firstLineChars="200"/>
        <w:jc w:val="left"/>
        <w:rPr>
          <w:rFonts w:ascii="宋体" w:hAnsi="Times New Roman" w:eastAsia="宋体" w:cs="宋体"/>
          <w:b w:val="0"/>
          <w:bCs/>
          <w:kern w:val="0"/>
          <w:szCs w:val="21"/>
        </w:rPr>
      </w:pPr>
      <w:r>
        <w:rPr>
          <w:rFonts w:hint="eastAsia" w:ascii="宋体" w:hAnsi="宋体" w:eastAsia="宋体" w:cs="宋体"/>
          <w:b w:val="0"/>
          <w:bCs/>
          <w:kern w:val="0"/>
          <w:szCs w:val="21"/>
        </w:rPr>
        <w:t>满足DL/T 593、DL/T 404 相关规定，并作如下补充：</w:t>
      </w:r>
    </w:p>
    <w:p w14:paraId="58BD5AF6">
      <w:pPr>
        <w:autoSpaceDE w:val="0"/>
        <w:autoSpaceDN w:val="0"/>
        <w:adjustRightInd w:val="0"/>
        <w:ind w:firstLine="420" w:firstLineChars="200"/>
        <w:jc w:val="left"/>
        <w:rPr>
          <w:rFonts w:ascii="宋体" w:hAnsi="Times New Roman" w:eastAsia="宋体" w:cs="宋体"/>
          <w:b w:val="0"/>
          <w:bCs/>
          <w:kern w:val="0"/>
          <w:szCs w:val="21"/>
        </w:rPr>
      </w:pPr>
      <w:r>
        <w:rPr>
          <w:rFonts w:hint="eastAsia" w:ascii="宋体" w:hAnsi="宋体" w:eastAsia="宋体" w:cs="宋体"/>
          <w:b w:val="0"/>
          <w:bCs/>
          <w:kern w:val="0"/>
          <w:szCs w:val="21"/>
        </w:rPr>
        <w:t>a) 额定短时耐受电流：20kA、25kA；</w:t>
      </w:r>
    </w:p>
    <w:p w14:paraId="558408B1">
      <w:pPr>
        <w:autoSpaceDE w:val="0"/>
        <w:autoSpaceDN w:val="0"/>
        <w:adjustRightInd w:val="0"/>
        <w:ind w:firstLine="420" w:firstLineChars="200"/>
        <w:jc w:val="left"/>
        <w:rPr>
          <w:rFonts w:ascii="宋体" w:hAnsi="Times New Roman" w:eastAsia="宋体" w:cs="宋体"/>
          <w:b w:val="0"/>
          <w:bCs/>
          <w:kern w:val="0"/>
          <w:szCs w:val="21"/>
        </w:rPr>
      </w:pPr>
      <w:r>
        <w:rPr>
          <w:rFonts w:hint="eastAsia" w:ascii="宋体" w:hAnsi="宋体" w:eastAsia="宋体" w:cs="宋体"/>
          <w:b w:val="0"/>
          <w:bCs/>
          <w:kern w:val="0"/>
          <w:szCs w:val="21"/>
        </w:rPr>
        <w:t>b) 额定峰值耐受电流：50kA、63kA；</w:t>
      </w:r>
    </w:p>
    <w:p w14:paraId="7AB75B7F">
      <w:pPr>
        <w:pStyle w:val="5"/>
        <w:keepNext w:val="0"/>
        <w:keepLines w:val="0"/>
        <w:widowControl/>
        <w:spacing w:before="0" w:after="0" w:line="240" w:lineRule="auto"/>
        <w:ind w:firstLine="420" w:firstLineChars="200"/>
        <w:rPr>
          <w:rFonts w:ascii="宋体" w:hAnsi="Times New Roman" w:eastAsia="宋体" w:cs="宋体"/>
          <w:b w:val="0"/>
          <w:bCs/>
          <w:kern w:val="0"/>
          <w:sz w:val="21"/>
          <w:szCs w:val="21"/>
        </w:rPr>
      </w:pPr>
      <w:r>
        <w:rPr>
          <w:rFonts w:hint="eastAsia" w:ascii="宋体" w:hAnsi="宋体" w:eastAsia="宋体" w:cs="宋体"/>
          <w:b w:val="0"/>
          <w:bCs/>
          <w:kern w:val="0"/>
          <w:sz w:val="21"/>
          <w:szCs w:val="21"/>
        </w:rPr>
        <w:t>c) 额定短路持续时间：（20kA/ ）3s、（25kA /）2s。</w:t>
      </w:r>
    </w:p>
    <w:p w14:paraId="45B8B721">
      <w:pPr>
        <w:pStyle w:val="5"/>
        <w:keepNext w:val="0"/>
        <w:keepLines w:val="0"/>
        <w:widowControl/>
        <w:spacing w:before="0" w:after="0" w:line="360" w:lineRule="auto"/>
        <w:rPr>
          <w:rFonts w:ascii="黑体" w:hAnsi="宋体" w:cs="黑体"/>
          <w:b w:val="0"/>
          <w:bCs/>
          <w:sz w:val="21"/>
          <w:szCs w:val="21"/>
        </w:rPr>
      </w:pPr>
      <w:r>
        <w:rPr>
          <w:rFonts w:hint="eastAsia" w:ascii="黑体" w:hAnsi="宋体" w:cs="黑体"/>
          <w:b w:val="0"/>
          <w:bCs/>
          <w:sz w:val="21"/>
          <w:szCs w:val="21"/>
        </w:rPr>
        <w:t>5.4其他额定值</w:t>
      </w:r>
    </w:p>
    <w:p w14:paraId="37EF721D">
      <w:pPr>
        <w:autoSpaceDE w:val="0"/>
        <w:autoSpaceDN w:val="0"/>
        <w:adjustRightInd w:val="0"/>
        <w:ind w:firstLine="420" w:firstLineChars="200"/>
        <w:jc w:val="left"/>
        <w:rPr>
          <w:rFonts w:ascii="宋体" w:hAnsi="Times New Roman" w:eastAsia="宋体" w:cs="宋体"/>
          <w:b w:val="0"/>
          <w:bCs/>
          <w:kern w:val="0"/>
          <w:szCs w:val="21"/>
        </w:rPr>
      </w:pPr>
      <w:r>
        <w:rPr>
          <w:rFonts w:hint="eastAsia" w:ascii="宋体" w:hAnsi="宋体" w:eastAsia="宋体" w:cs="宋体"/>
          <w:b w:val="0"/>
          <w:bCs/>
          <w:kern w:val="0"/>
          <w:szCs w:val="21"/>
        </w:rPr>
        <w:t>额定绝缘水平、额定频率、合闸和分闸装置及其辅助回路的额定电源频率、可控压力系统压缩气源的额定压力、绝缘和/或开合用的介质的额定充入水平满足DL/T 593、DL/T 404 相关规定。</w:t>
      </w:r>
    </w:p>
    <w:p w14:paraId="0064F4C7">
      <w:pPr>
        <w:pStyle w:val="5"/>
        <w:keepNext w:val="0"/>
        <w:keepLines w:val="0"/>
        <w:widowControl/>
        <w:spacing w:before="0" w:after="0" w:line="360" w:lineRule="auto"/>
        <w:rPr>
          <w:rFonts w:ascii="黑体" w:hAnsi="宋体" w:cs="黑体"/>
          <w:b w:val="0"/>
          <w:bCs/>
          <w:sz w:val="21"/>
          <w:szCs w:val="21"/>
        </w:rPr>
      </w:pPr>
      <w:r>
        <w:rPr>
          <w:rFonts w:hint="eastAsia" w:ascii="黑体" w:hAnsi="宋体" w:cs="黑体"/>
          <w:b w:val="0"/>
          <w:bCs/>
          <w:sz w:val="21"/>
          <w:szCs w:val="21"/>
        </w:rPr>
        <w:t>5.5互感器额定值</w:t>
      </w:r>
    </w:p>
    <w:p w14:paraId="56FC7A23">
      <w:pPr>
        <w:ind w:firstLine="420" w:firstLineChars="200"/>
        <w:jc w:val="left"/>
        <w:rPr>
          <w:rFonts w:ascii="宋体" w:hAnsi="宋体" w:eastAsia="宋体" w:cs="宋体"/>
          <w:kern w:val="0"/>
          <w:szCs w:val="21"/>
        </w:rPr>
      </w:pPr>
      <w:r>
        <w:rPr>
          <w:rFonts w:hint="eastAsia" w:ascii="宋体" w:hAnsi="宋体" w:eastAsia="宋体" w:cs="宋体"/>
          <w:kern w:val="0"/>
          <w:szCs w:val="21"/>
        </w:rPr>
        <w:t>除满足GB/T 20840 系列标准的相关要求外，还应满足如下要求：</w:t>
      </w:r>
    </w:p>
    <w:p w14:paraId="4A605868">
      <w:pPr>
        <w:pStyle w:val="22"/>
        <w:spacing w:beforeAutospacing="0" w:afterAutospacing="0"/>
        <w:ind w:firstLine="420" w:firstLineChars="200"/>
        <w:jc w:val="both"/>
        <w:rPr>
          <w:rFonts w:cs="宋体"/>
          <w:bCs/>
          <w:sz w:val="21"/>
          <w:szCs w:val="21"/>
        </w:rPr>
      </w:pPr>
      <w:r>
        <w:rPr>
          <w:rFonts w:hint="eastAsia" w:cs="宋体"/>
          <w:bCs/>
          <w:kern w:val="28"/>
          <w:sz w:val="21"/>
          <w:szCs w:val="21"/>
        </w:rPr>
        <w:t>5.5.1 电压互感器</w:t>
      </w:r>
    </w:p>
    <w:p w14:paraId="451F7D0A">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a) 环网箱电磁式电压互感器组合模式</w:t>
      </w:r>
    </w:p>
    <w:p w14:paraId="55AC7C5E">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1) 供电电压额定值10kV/0.22kV，额定负荷3×300VA，准确级3级。</w:t>
      </w:r>
    </w:p>
    <w:p w14:paraId="7A3E9B6A">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2) 相电压额定值10kV/√3/0.1kV/√3，额定负荷10VA，在测量绕组长期输出3×40VA 时，测量准确度满足0.5级精度要求。</w:t>
      </w:r>
    </w:p>
    <w:p w14:paraId="6BCBD479">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3) 零序电压额定值10kV/√3/0.1kV/3，额定负荷10VA，准确级3P级。</w:t>
      </w:r>
    </w:p>
    <w:p w14:paraId="0A65B513">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b) 环网箱电子式电压互感器组合模式</w:t>
      </w:r>
    </w:p>
    <w:p w14:paraId="18792D4E">
      <w:pPr>
        <w:pStyle w:val="22"/>
        <w:spacing w:beforeAutospacing="0" w:afterAutospacing="0"/>
        <w:ind w:firstLine="420" w:firstLineChars="200"/>
        <w:jc w:val="both"/>
        <w:rPr>
          <w:rFonts w:cs="宋体"/>
          <w:bCs/>
          <w:color w:val="000000"/>
          <w:kern w:val="28"/>
          <w:sz w:val="21"/>
          <w:szCs w:val="21"/>
        </w:rPr>
      </w:pPr>
      <w:r>
        <w:rPr>
          <w:rFonts w:hint="eastAsia" w:cs="宋体"/>
          <w:bCs/>
          <w:color w:val="000000"/>
          <w:kern w:val="28"/>
          <w:sz w:val="21"/>
          <w:szCs w:val="21"/>
        </w:rPr>
        <w:t>1) 供电电压、相电压、零序电压额定值参照环网箱电磁式组合模式中额定值。</w:t>
      </w:r>
    </w:p>
    <w:p w14:paraId="520097E4">
      <w:pPr>
        <w:pStyle w:val="22"/>
        <w:spacing w:beforeAutospacing="0" w:afterAutospacing="0"/>
        <w:ind w:firstLine="420" w:firstLineChars="200"/>
        <w:jc w:val="both"/>
        <w:rPr>
          <w:rFonts w:cs="宋体"/>
          <w:bCs/>
          <w:kern w:val="28"/>
          <w:sz w:val="21"/>
          <w:szCs w:val="21"/>
        </w:rPr>
      </w:pPr>
      <w:r>
        <w:rPr>
          <w:rFonts w:hint="eastAsia" w:cs="宋体"/>
          <w:bCs/>
          <w:kern w:val="28"/>
          <w:sz w:val="21"/>
          <w:szCs w:val="21"/>
        </w:rPr>
        <w:t>5.5.2 电流互感器</w:t>
      </w:r>
    </w:p>
    <w:p w14:paraId="66ADF357">
      <w:pPr>
        <w:autoSpaceDE w:val="0"/>
        <w:autoSpaceDN w:val="0"/>
        <w:adjustRightInd w:val="0"/>
        <w:ind w:firstLine="420" w:firstLineChars="200"/>
        <w:jc w:val="left"/>
        <w:rPr>
          <w:rFonts w:ascii="宋体" w:hAnsi="宋体" w:eastAsia="宋体" w:cs="宋体"/>
          <w:kern w:val="0"/>
          <w:szCs w:val="21"/>
        </w:rPr>
      </w:pPr>
      <w:r>
        <w:rPr>
          <w:rFonts w:hint="eastAsia" w:ascii="宋体" w:hAnsi="宋体" w:eastAsia="宋体" w:cs="宋体"/>
          <w:kern w:val="0"/>
          <w:szCs w:val="21"/>
        </w:rPr>
        <w:t>a) 环网箱电磁式电流互感器组合模式</w:t>
      </w:r>
    </w:p>
    <w:p w14:paraId="5D418CE3">
      <w:pPr>
        <w:autoSpaceDE w:val="0"/>
        <w:autoSpaceDN w:val="0"/>
        <w:adjustRightInd w:val="0"/>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rPr>
        <w:t xml:space="preserve">1) </w:t>
      </w:r>
      <w:r>
        <w:rPr>
          <w:rFonts w:hint="eastAsia" w:ascii="宋体" w:hAnsi="宋体" w:eastAsia="宋体" w:cs="宋体"/>
          <w:kern w:val="0"/>
          <w:szCs w:val="21"/>
          <w:highlight w:val="none"/>
        </w:rPr>
        <w:t>相电流额定值600/1（额定输出容量1VA）或600/5（额定输出容量2.5VA），准确级0.5,保护准确级10P20。</w:t>
      </w:r>
    </w:p>
    <w:p w14:paraId="74D82CAF">
      <w:pPr>
        <w:autoSpaceDE w:val="0"/>
        <w:autoSpaceDN w:val="0"/>
        <w:adjustRightInd w:val="0"/>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highlight w:val="none"/>
        </w:rPr>
        <w:t>2) 零序电流额定</w:t>
      </w:r>
      <w:r>
        <w:rPr>
          <w:rFonts w:hint="eastAsia" w:ascii="宋体" w:hAnsi="宋体" w:eastAsia="宋体" w:cs="宋体"/>
          <w:color w:val="auto"/>
          <w:kern w:val="0"/>
          <w:szCs w:val="21"/>
          <w:highlight w:val="none"/>
        </w:rPr>
        <w:t>值100/5或20/1，误差</w:t>
      </w:r>
      <w:r>
        <w:rPr>
          <w:rFonts w:hint="eastAsia" w:ascii="宋体" w:hAnsi="宋体" w:eastAsia="宋体" w:cs="宋体"/>
          <w:kern w:val="0"/>
          <w:szCs w:val="21"/>
          <w:highlight w:val="none"/>
        </w:rPr>
        <w:t>限值如表</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1 和表</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2 所示，保护准确级10P5,额定负荷1VA。</w:t>
      </w:r>
    </w:p>
    <w:p w14:paraId="3095597D">
      <w:pPr>
        <w:autoSpaceDE w:val="0"/>
        <w:autoSpaceDN w:val="0"/>
        <w:adjustRightInd w:val="0"/>
        <w:spacing w:line="360" w:lineRule="auto"/>
        <w:jc w:val="center"/>
        <w:rPr>
          <w:rFonts w:ascii="宋体" w:hAnsi="宋体" w:eastAsia="宋体" w:cs="宋体"/>
          <w:kern w:val="0"/>
          <w:szCs w:val="21"/>
          <w:highlight w:val="none"/>
        </w:rPr>
      </w:pPr>
      <w:r>
        <w:rPr>
          <w:rFonts w:hint="eastAsia" w:ascii="宋体" w:hAnsi="Times New Roman" w:eastAsia="宋体" w:cs="宋体"/>
          <w:kern w:val="0"/>
          <w:szCs w:val="21"/>
          <w:highlight w:val="none"/>
        </w:rPr>
        <w:t xml:space="preserve"> </w:t>
      </w:r>
      <w:r>
        <w:rPr>
          <w:rFonts w:hint="eastAsia" w:ascii="宋体" w:hAnsi="宋体" w:eastAsia="宋体" w:cs="宋体"/>
          <w:kern w:val="0"/>
          <w:szCs w:val="21"/>
          <w:highlight w:val="none"/>
        </w:rPr>
        <w:t>表</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1 额定变比100/5 零序电流互感器的误差限值</w:t>
      </w:r>
    </w:p>
    <w:tbl>
      <w:tblPr>
        <w:tblStyle w:val="26"/>
        <w:tblW w:w="86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58"/>
        <w:gridCol w:w="1186"/>
        <w:gridCol w:w="1012"/>
        <w:gridCol w:w="1302"/>
        <w:gridCol w:w="2840"/>
      </w:tblGrid>
      <w:tr w14:paraId="5A61A6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4" w:hRule="atLeast"/>
        </w:trPr>
        <w:tc>
          <w:tcPr>
            <w:tcW w:w="2358" w:type="dxa"/>
            <w:tcBorders>
              <w:top w:val="single" w:color="auto" w:sz="4" w:space="0"/>
              <w:left w:val="single" w:color="auto" w:sz="4" w:space="0"/>
              <w:bottom w:val="single" w:color="auto" w:sz="4" w:space="0"/>
              <w:right w:val="single" w:color="auto" w:sz="4" w:space="0"/>
            </w:tcBorders>
            <w:shd w:val="clear" w:color="auto" w:fill="auto"/>
            <w:vAlign w:val="center"/>
          </w:tcPr>
          <w:p w14:paraId="777CF4E2">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额定电流百分比</w:t>
            </w:r>
            <w:r>
              <w:rPr>
                <w:rFonts w:hint="eastAsia"/>
                <w:bCs/>
                <w:kern w:val="28"/>
                <w:sz w:val="21"/>
                <w:szCs w:val="21"/>
                <w:highlight w:val="none"/>
              </w:rPr>
              <w:tab/>
            </w:r>
            <w:r>
              <w:rPr>
                <w:rFonts w:hint="eastAsia"/>
                <w:bCs/>
                <w:kern w:val="28"/>
                <w:sz w:val="21"/>
                <w:szCs w:val="21"/>
                <w:highlight w:val="none"/>
              </w:rPr>
              <w:t>(%)</w:t>
            </w:r>
          </w:p>
        </w:tc>
        <w:tc>
          <w:tcPr>
            <w:tcW w:w="1186" w:type="dxa"/>
            <w:tcBorders>
              <w:top w:val="single" w:color="auto" w:sz="4" w:space="0"/>
              <w:left w:val="nil"/>
              <w:bottom w:val="single" w:color="auto" w:sz="4" w:space="0"/>
              <w:right w:val="single" w:color="auto" w:sz="4" w:space="0"/>
            </w:tcBorders>
            <w:shd w:val="clear" w:color="auto" w:fill="auto"/>
            <w:vAlign w:val="center"/>
          </w:tcPr>
          <w:p w14:paraId="3B6B2D71">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1</w:t>
            </w:r>
          </w:p>
        </w:tc>
        <w:tc>
          <w:tcPr>
            <w:tcW w:w="1012" w:type="dxa"/>
            <w:tcBorders>
              <w:top w:val="single" w:color="auto" w:sz="4" w:space="0"/>
              <w:left w:val="nil"/>
              <w:bottom w:val="single" w:color="auto" w:sz="4" w:space="0"/>
              <w:right w:val="single" w:color="auto" w:sz="4" w:space="0"/>
            </w:tcBorders>
            <w:shd w:val="clear" w:color="auto" w:fill="auto"/>
            <w:vAlign w:val="center"/>
          </w:tcPr>
          <w:p w14:paraId="634406D4">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20</w:t>
            </w:r>
          </w:p>
        </w:tc>
        <w:tc>
          <w:tcPr>
            <w:tcW w:w="1302" w:type="dxa"/>
            <w:tcBorders>
              <w:top w:val="single" w:color="auto" w:sz="4" w:space="0"/>
              <w:left w:val="nil"/>
              <w:bottom w:val="single" w:color="auto" w:sz="4" w:space="0"/>
              <w:right w:val="single" w:color="auto" w:sz="4" w:space="0"/>
            </w:tcBorders>
            <w:shd w:val="clear" w:color="auto" w:fill="auto"/>
            <w:vAlign w:val="center"/>
          </w:tcPr>
          <w:p w14:paraId="2051E70E">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100</w:t>
            </w:r>
          </w:p>
        </w:tc>
        <w:tc>
          <w:tcPr>
            <w:tcW w:w="2840" w:type="dxa"/>
            <w:tcBorders>
              <w:top w:val="single" w:color="auto" w:sz="4" w:space="0"/>
              <w:left w:val="nil"/>
              <w:bottom w:val="single" w:color="auto" w:sz="4" w:space="0"/>
              <w:right w:val="single" w:color="auto" w:sz="4" w:space="0"/>
            </w:tcBorders>
            <w:shd w:val="clear" w:color="auto" w:fill="auto"/>
          </w:tcPr>
          <w:p w14:paraId="0D3B238A">
            <w:pPr>
              <w:pStyle w:val="22"/>
              <w:spacing w:before="240" w:beforeAutospacing="0" w:after="120" w:afterAutospacing="0"/>
              <w:jc w:val="both"/>
              <w:rPr>
                <w:bCs/>
                <w:kern w:val="28"/>
                <w:sz w:val="21"/>
                <w:szCs w:val="21"/>
                <w:highlight w:val="none"/>
              </w:rPr>
            </w:pPr>
            <w:r>
              <w:rPr>
                <w:rFonts w:hint="eastAsia"/>
                <w:bCs/>
                <w:kern w:val="28"/>
                <w:sz w:val="21"/>
                <w:szCs w:val="21"/>
                <w:highlight w:val="none"/>
              </w:rPr>
              <w:t>额定准确限值一次电流下的复合误差</w:t>
            </w:r>
          </w:p>
        </w:tc>
      </w:tr>
      <w:tr w14:paraId="49D75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58" w:type="dxa"/>
            <w:tcBorders>
              <w:top w:val="single" w:color="auto" w:sz="4" w:space="0"/>
              <w:left w:val="single" w:color="auto" w:sz="4" w:space="0"/>
              <w:bottom w:val="single" w:color="auto" w:sz="4" w:space="0"/>
              <w:right w:val="single" w:color="auto" w:sz="4" w:space="0"/>
            </w:tcBorders>
            <w:shd w:val="clear" w:color="auto" w:fill="auto"/>
          </w:tcPr>
          <w:p w14:paraId="257C4CAE">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比差值（±%）</w:t>
            </w:r>
          </w:p>
        </w:tc>
        <w:tc>
          <w:tcPr>
            <w:tcW w:w="1186" w:type="dxa"/>
            <w:tcBorders>
              <w:top w:val="single" w:color="auto" w:sz="4" w:space="0"/>
              <w:left w:val="nil"/>
              <w:bottom w:val="single" w:color="auto" w:sz="4" w:space="0"/>
              <w:right w:val="single" w:color="auto" w:sz="4" w:space="0"/>
            </w:tcBorders>
            <w:shd w:val="clear" w:color="auto" w:fill="auto"/>
          </w:tcPr>
          <w:p w14:paraId="44648BCB">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1012" w:type="dxa"/>
            <w:tcBorders>
              <w:top w:val="single" w:color="auto" w:sz="4" w:space="0"/>
              <w:left w:val="nil"/>
              <w:bottom w:val="single" w:color="auto" w:sz="4" w:space="0"/>
              <w:right w:val="single" w:color="auto" w:sz="4" w:space="0"/>
            </w:tcBorders>
            <w:shd w:val="clear" w:color="auto" w:fill="auto"/>
          </w:tcPr>
          <w:p w14:paraId="0BDD7DBD">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1302" w:type="dxa"/>
            <w:tcBorders>
              <w:top w:val="single" w:color="auto" w:sz="4" w:space="0"/>
              <w:left w:val="nil"/>
              <w:bottom w:val="single" w:color="auto" w:sz="4" w:space="0"/>
              <w:right w:val="single" w:color="auto" w:sz="4" w:space="0"/>
            </w:tcBorders>
            <w:shd w:val="clear" w:color="auto" w:fill="auto"/>
          </w:tcPr>
          <w:p w14:paraId="34BEDC2E">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2840" w:type="dxa"/>
            <w:tcBorders>
              <w:top w:val="single" w:color="auto" w:sz="4" w:space="0"/>
              <w:left w:val="nil"/>
              <w:bottom w:val="single" w:color="auto" w:sz="4" w:space="0"/>
              <w:right w:val="single" w:color="auto" w:sz="4" w:space="0"/>
            </w:tcBorders>
            <w:shd w:val="clear" w:color="auto" w:fill="auto"/>
          </w:tcPr>
          <w:p w14:paraId="65A801BE">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10</w:t>
            </w:r>
          </w:p>
        </w:tc>
      </w:tr>
    </w:tbl>
    <w:p w14:paraId="7AEEDD3A">
      <w:pPr>
        <w:spacing w:line="360" w:lineRule="auto"/>
        <w:ind w:firstLine="1050" w:firstLineChars="500"/>
        <w:jc w:val="left"/>
        <w:rPr>
          <w:rFonts w:ascii="宋体" w:hAnsi="宋体" w:eastAsia="宋体" w:cs="宋体"/>
          <w:kern w:val="0"/>
          <w:szCs w:val="21"/>
          <w:highlight w:val="none"/>
        </w:rPr>
      </w:pPr>
      <w:r>
        <w:rPr>
          <w:rFonts w:hint="eastAsia" w:ascii="黑体" w:hAnsi="Times New Roman" w:eastAsia="黑体" w:cs="黑体"/>
          <w:kern w:val="0"/>
          <w:szCs w:val="21"/>
          <w:highlight w:val="none"/>
        </w:rPr>
        <w:t xml:space="preserve"> </w:t>
      </w:r>
      <w:r>
        <w:rPr>
          <w:rFonts w:hint="eastAsia" w:ascii="宋体" w:hAnsi="宋体" w:eastAsia="宋体" w:cs="宋体"/>
          <w:kern w:val="0"/>
          <w:szCs w:val="21"/>
          <w:highlight w:val="none"/>
        </w:rPr>
        <w:t>表2 额定变比20/1 零序电流互感器的误差限值</w:t>
      </w:r>
    </w:p>
    <w:tbl>
      <w:tblPr>
        <w:tblStyle w:val="26"/>
        <w:tblW w:w="86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70"/>
        <w:gridCol w:w="1163"/>
        <w:gridCol w:w="1023"/>
        <w:gridCol w:w="1300"/>
        <w:gridCol w:w="2842"/>
      </w:tblGrid>
      <w:tr w14:paraId="1459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7" w:hRule="atLeast"/>
        </w:trPr>
        <w:tc>
          <w:tcPr>
            <w:tcW w:w="2370" w:type="dxa"/>
            <w:tcBorders>
              <w:top w:val="single" w:color="auto" w:sz="4" w:space="0"/>
              <w:left w:val="single" w:color="auto" w:sz="4" w:space="0"/>
              <w:bottom w:val="single" w:color="auto" w:sz="4" w:space="0"/>
              <w:right w:val="single" w:color="auto" w:sz="4" w:space="0"/>
            </w:tcBorders>
            <w:shd w:val="clear" w:color="auto" w:fill="auto"/>
            <w:vAlign w:val="center"/>
          </w:tcPr>
          <w:p w14:paraId="1F7D9EBE">
            <w:pPr>
              <w:pStyle w:val="22"/>
              <w:spacing w:before="240" w:beforeAutospacing="0" w:after="120" w:afterAutospacing="0"/>
              <w:jc w:val="center"/>
              <w:rPr>
                <w:rFonts w:ascii="Cambria" w:hAnsi="Cambria" w:eastAsia="黑体"/>
                <w:bCs/>
                <w:kern w:val="28"/>
                <w:sz w:val="32"/>
                <w:szCs w:val="32"/>
                <w:highlight w:val="none"/>
              </w:rPr>
            </w:pPr>
            <w:r>
              <w:rPr>
                <w:rFonts w:hint="eastAsia"/>
                <w:bCs/>
                <w:kern w:val="28"/>
                <w:sz w:val="21"/>
                <w:szCs w:val="21"/>
                <w:highlight w:val="none"/>
              </w:rPr>
              <w:t>额定电流百分比(%)</w:t>
            </w:r>
          </w:p>
        </w:tc>
        <w:tc>
          <w:tcPr>
            <w:tcW w:w="1163" w:type="dxa"/>
            <w:tcBorders>
              <w:top w:val="single" w:color="auto" w:sz="4" w:space="0"/>
              <w:left w:val="nil"/>
              <w:bottom w:val="single" w:color="auto" w:sz="4" w:space="0"/>
              <w:right w:val="single" w:color="auto" w:sz="4" w:space="0"/>
            </w:tcBorders>
            <w:shd w:val="clear" w:color="auto" w:fill="auto"/>
            <w:vAlign w:val="center"/>
          </w:tcPr>
          <w:p w14:paraId="3F7BCB66">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2</w:t>
            </w:r>
          </w:p>
        </w:tc>
        <w:tc>
          <w:tcPr>
            <w:tcW w:w="1023" w:type="dxa"/>
            <w:tcBorders>
              <w:top w:val="single" w:color="auto" w:sz="4" w:space="0"/>
              <w:left w:val="nil"/>
              <w:bottom w:val="single" w:color="auto" w:sz="4" w:space="0"/>
              <w:right w:val="single" w:color="auto" w:sz="4" w:space="0"/>
            </w:tcBorders>
            <w:shd w:val="clear" w:color="auto" w:fill="auto"/>
            <w:vAlign w:val="center"/>
          </w:tcPr>
          <w:p w14:paraId="54CC2279">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20</w:t>
            </w:r>
          </w:p>
        </w:tc>
        <w:tc>
          <w:tcPr>
            <w:tcW w:w="1300" w:type="dxa"/>
            <w:tcBorders>
              <w:top w:val="single" w:color="auto" w:sz="4" w:space="0"/>
              <w:left w:val="nil"/>
              <w:bottom w:val="single" w:color="auto" w:sz="4" w:space="0"/>
              <w:right w:val="single" w:color="auto" w:sz="4" w:space="0"/>
            </w:tcBorders>
            <w:shd w:val="clear" w:color="auto" w:fill="auto"/>
            <w:vAlign w:val="center"/>
          </w:tcPr>
          <w:p w14:paraId="111F1D7B">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100</w:t>
            </w:r>
          </w:p>
        </w:tc>
        <w:tc>
          <w:tcPr>
            <w:tcW w:w="2842" w:type="dxa"/>
            <w:tcBorders>
              <w:top w:val="single" w:color="auto" w:sz="4" w:space="0"/>
              <w:left w:val="nil"/>
              <w:bottom w:val="single" w:color="auto" w:sz="4" w:space="0"/>
              <w:right w:val="single" w:color="auto" w:sz="4" w:space="0"/>
            </w:tcBorders>
            <w:shd w:val="clear" w:color="auto" w:fill="auto"/>
          </w:tcPr>
          <w:p w14:paraId="44D73170">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额定准确限值一次电流下的复合误差</w:t>
            </w:r>
          </w:p>
        </w:tc>
      </w:tr>
      <w:tr w14:paraId="6CC77F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370" w:type="dxa"/>
            <w:tcBorders>
              <w:top w:val="single" w:color="auto" w:sz="4" w:space="0"/>
              <w:left w:val="single" w:color="auto" w:sz="4" w:space="0"/>
              <w:bottom w:val="single" w:color="auto" w:sz="4" w:space="0"/>
              <w:right w:val="single" w:color="auto" w:sz="4" w:space="0"/>
            </w:tcBorders>
            <w:shd w:val="clear" w:color="auto" w:fill="auto"/>
          </w:tcPr>
          <w:p w14:paraId="6EAFADFD">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比差值（±%）</w:t>
            </w:r>
          </w:p>
        </w:tc>
        <w:tc>
          <w:tcPr>
            <w:tcW w:w="1163" w:type="dxa"/>
            <w:tcBorders>
              <w:top w:val="single" w:color="auto" w:sz="4" w:space="0"/>
              <w:left w:val="nil"/>
              <w:bottom w:val="single" w:color="auto" w:sz="4" w:space="0"/>
              <w:right w:val="single" w:color="auto" w:sz="4" w:space="0"/>
            </w:tcBorders>
            <w:shd w:val="clear" w:color="auto" w:fill="auto"/>
          </w:tcPr>
          <w:p w14:paraId="078B9C86">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1023" w:type="dxa"/>
            <w:tcBorders>
              <w:top w:val="single" w:color="auto" w:sz="4" w:space="0"/>
              <w:left w:val="nil"/>
              <w:bottom w:val="single" w:color="auto" w:sz="4" w:space="0"/>
              <w:right w:val="single" w:color="auto" w:sz="4" w:space="0"/>
            </w:tcBorders>
            <w:shd w:val="clear" w:color="auto" w:fill="auto"/>
          </w:tcPr>
          <w:p w14:paraId="5F2C128A">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1300" w:type="dxa"/>
            <w:tcBorders>
              <w:top w:val="single" w:color="auto" w:sz="4" w:space="0"/>
              <w:left w:val="nil"/>
              <w:bottom w:val="single" w:color="auto" w:sz="4" w:space="0"/>
              <w:right w:val="single" w:color="auto" w:sz="4" w:space="0"/>
            </w:tcBorders>
            <w:shd w:val="clear" w:color="auto" w:fill="auto"/>
          </w:tcPr>
          <w:p w14:paraId="1C05F4BC">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3</w:t>
            </w:r>
          </w:p>
        </w:tc>
        <w:tc>
          <w:tcPr>
            <w:tcW w:w="2842" w:type="dxa"/>
            <w:tcBorders>
              <w:top w:val="single" w:color="auto" w:sz="4" w:space="0"/>
              <w:left w:val="nil"/>
              <w:bottom w:val="single" w:color="auto" w:sz="4" w:space="0"/>
              <w:right w:val="single" w:color="auto" w:sz="4" w:space="0"/>
            </w:tcBorders>
            <w:shd w:val="clear" w:color="auto" w:fill="auto"/>
          </w:tcPr>
          <w:p w14:paraId="47B40B9B">
            <w:pPr>
              <w:pStyle w:val="22"/>
              <w:spacing w:before="240" w:beforeAutospacing="0" w:after="120" w:afterAutospacing="0"/>
              <w:jc w:val="center"/>
              <w:rPr>
                <w:bCs/>
                <w:kern w:val="28"/>
                <w:sz w:val="21"/>
                <w:szCs w:val="21"/>
                <w:highlight w:val="none"/>
              </w:rPr>
            </w:pPr>
            <w:r>
              <w:rPr>
                <w:rFonts w:hint="eastAsia"/>
                <w:bCs/>
                <w:kern w:val="28"/>
                <w:sz w:val="21"/>
                <w:szCs w:val="21"/>
                <w:highlight w:val="none"/>
              </w:rPr>
              <w:t>10</w:t>
            </w:r>
          </w:p>
        </w:tc>
      </w:tr>
    </w:tbl>
    <w:p w14:paraId="5429CA25">
      <w:pPr>
        <w:spacing w:line="360" w:lineRule="auto"/>
        <w:jc w:val="left"/>
        <w:rPr>
          <w:rFonts w:ascii="宋体" w:hAnsi="宋体" w:eastAsia="宋体" w:cs="宋体"/>
          <w:szCs w:val="21"/>
          <w:highlight w:val="none"/>
        </w:rPr>
      </w:pPr>
      <w:r>
        <w:rPr>
          <w:rFonts w:hint="eastAsia" w:ascii="宋体" w:hAnsi="宋体" w:eastAsia="宋体" w:cs="宋体"/>
          <w:color w:val="000000"/>
          <w:szCs w:val="21"/>
          <w:highlight w:val="none"/>
        </w:rPr>
        <w:t>b) 环网箱电子式电流互感器组合模式</w:t>
      </w:r>
    </w:p>
    <w:p w14:paraId="59519329">
      <w:pPr>
        <w:jc w:val="left"/>
        <w:rPr>
          <w:rFonts w:ascii="宋体" w:hAnsi="宋体" w:eastAsia="宋体" w:cs="宋体"/>
          <w:color w:val="000000"/>
          <w:szCs w:val="21"/>
          <w:highlight w:val="none"/>
        </w:rPr>
      </w:pPr>
      <w:r>
        <w:rPr>
          <w:rFonts w:hint="eastAsia" w:ascii="宋体" w:hAnsi="宋体" w:eastAsia="宋体" w:cs="宋体"/>
          <w:color w:val="000000"/>
          <w:szCs w:val="21"/>
          <w:highlight w:val="none"/>
        </w:rPr>
        <w:t>1) 相电流额定值 600A/1V， 准确级 0.5级， 保护准确级10P20， 额定负荷≥20kΩ 。</w:t>
      </w:r>
    </w:p>
    <w:p w14:paraId="634584A6">
      <w:pPr>
        <w:autoSpaceDE w:val="0"/>
        <w:autoSpaceDN w:val="0"/>
        <w:adjustRightInd w:val="0"/>
        <w:spacing w:line="360" w:lineRule="auto"/>
        <w:jc w:val="center"/>
        <w:rPr>
          <w:rFonts w:ascii="宋体" w:hAnsi="宋体" w:eastAsia="宋体" w:cs="宋体"/>
          <w:kern w:val="0"/>
          <w:szCs w:val="21"/>
          <w:highlight w:val="none"/>
        </w:rPr>
      </w:pPr>
      <w:r>
        <w:rPr>
          <w:rFonts w:hint="eastAsia" w:ascii="宋体" w:hAnsi="宋体" w:eastAsia="宋体" w:cs="宋体"/>
          <w:kern w:val="0"/>
          <w:szCs w:val="21"/>
          <w:highlight w:val="none"/>
        </w:rPr>
        <w:t>表</w:t>
      </w:r>
      <w:r>
        <w:rPr>
          <w:rFonts w:hint="eastAsia" w:ascii="宋体" w:hAnsi="宋体" w:eastAsia="宋体" w:cs="宋体"/>
          <w:kern w:val="0"/>
          <w:szCs w:val="21"/>
          <w:highlight w:val="none"/>
          <w:lang w:val="en-US" w:eastAsia="zh-CN"/>
        </w:rPr>
        <w:t>5-</w:t>
      </w:r>
      <w:r>
        <w:rPr>
          <w:rFonts w:hint="eastAsia" w:ascii="宋体" w:hAnsi="宋体" w:eastAsia="宋体" w:cs="宋体"/>
          <w:kern w:val="0"/>
          <w:szCs w:val="21"/>
          <w:highlight w:val="none"/>
        </w:rPr>
        <w:t>3 额定变比20A/0.2V 零序电流互感器的误差限值</w:t>
      </w:r>
    </w:p>
    <w:tbl>
      <w:tblPr>
        <w:tblStyle w:val="26"/>
        <w:tblW w:w="8698" w:type="dxa"/>
        <w:tblInd w:w="-1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335"/>
        <w:gridCol w:w="733"/>
        <w:gridCol w:w="814"/>
        <w:gridCol w:w="988"/>
        <w:gridCol w:w="3828"/>
      </w:tblGrid>
      <w:tr w14:paraId="07932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5" w:hRule="atLeast"/>
        </w:trPr>
        <w:tc>
          <w:tcPr>
            <w:tcW w:w="2335" w:type="dxa"/>
            <w:tcBorders>
              <w:top w:val="single" w:color="auto" w:sz="4" w:space="0"/>
              <w:left w:val="single" w:color="auto" w:sz="4" w:space="0"/>
              <w:bottom w:val="single" w:color="auto" w:sz="4" w:space="0"/>
              <w:right w:val="single" w:color="auto" w:sz="4" w:space="0"/>
            </w:tcBorders>
            <w:shd w:val="clear" w:color="auto" w:fill="auto"/>
            <w:vAlign w:val="center"/>
          </w:tcPr>
          <w:p w14:paraId="4513A371">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额定电流百分比</w:t>
            </w:r>
            <w:r>
              <w:rPr>
                <w:rFonts w:hint="eastAsia"/>
                <w:bCs/>
                <w:kern w:val="28"/>
                <w:sz w:val="21"/>
                <w:szCs w:val="21"/>
                <w:highlight w:val="none"/>
              </w:rPr>
              <w:tab/>
            </w:r>
            <w:r>
              <w:rPr>
                <w:rFonts w:hint="eastAsia"/>
                <w:bCs/>
                <w:kern w:val="28"/>
                <w:sz w:val="21"/>
                <w:szCs w:val="21"/>
                <w:highlight w:val="none"/>
              </w:rPr>
              <w:t>(%)</w:t>
            </w:r>
          </w:p>
        </w:tc>
        <w:tc>
          <w:tcPr>
            <w:tcW w:w="733" w:type="dxa"/>
            <w:tcBorders>
              <w:top w:val="single" w:color="auto" w:sz="4" w:space="0"/>
              <w:left w:val="nil"/>
              <w:bottom w:val="single" w:color="auto" w:sz="4" w:space="0"/>
              <w:right w:val="single" w:color="auto" w:sz="4" w:space="0"/>
            </w:tcBorders>
            <w:shd w:val="clear" w:color="auto" w:fill="auto"/>
            <w:vAlign w:val="center"/>
          </w:tcPr>
          <w:p w14:paraId="6E00C0AF">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5</w:t>
            </w:r>
          </w:p>
        </w:tc>
        <w:tc>
          <w:tcPr>
            <w:tcW w:w="814" w:type="dxa"/>
            <w:tcBorders>
              <w:top w:val="single" w:color="auto" w:sz="4" w:space="0"/>
              <w:left w:val="nil"/>
              <w:bottom w:val="single" w:color="auto" w:sz="4" w:space="0"/>
              <w:right w:val="single" w:color="auto" w:sz="4" w:space="0"/>
            </w:tcBorders>
            <w:shd w:val="clear" w:color="auto" w:fill="auto"/>
            <w:vAlign w:val="center"/>
          </w:tcPr>
          <w:p w14:paraId="7CA134E3">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20</w:t>
            </w:r>
          </w:p>
        </w:tc>
        <w:tc>
          <w:tcPr>
            <w:tcW w:w="988" w:type="dxa"/>
            <w:tcBorders>
              <w:top w:val="single" w:color="auto" w:sz="4" w:space="0"/>
              <w:left w:val="nil"/>
              <w:bottom w:val="single" w:color="auto" w:sz="4" w:space="0"/>
              <w:right w:val="single" w:color="auto" w:sz="4" w:space="0"/>
            </w:tcBorders>
            <w:shd w:val="clear" w:color="auto" w:fill="auto"/>
            <w:vAlign w:val="center"/>
          </w:tcPr>
          <w:p w14:paraId="7A82D498">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100</w:t>
            </w:r>
          </w:p>
        </w:tc>
        <w:tc>
          <w:tcPr>
            <w:tcW w:w="3828" w:type="dxa"/>
            <w:tcBorders>
              <w:top w:val="single" w:color="auto" w:sz="4" w:space="0"/>
              <w:left w:val="nil"/>
              <w:bottom w:val="single" w:color="auto" w:sz="4" w:space="0"/>
              <w:right w:val="single" w:color="auto" w:sz="4" w:space="0"/>
            </w:tcBorders>
            <w:shd w:val="clear" w:color="auto" w:fill="auto"/>
            <w:vAlign w:val="center"/>
          </w:tcPr>
          <w:p w14:paraId="09D23240">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额定准确限值一次电流下的复合误差</w:t>
            </w:r>
          </w:p>
        </w:tc>
      </w:tr>
      <w:tr w14:paraId="31ABF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trPr>
        <w:tc>
          <w:tcPr>
            <w:tcW w:w="2335" w:type="dxa"/>
            <w:tcBorders>
              <w:top w:val="single" w:color="auto" w:sz="4" w:space="0"/>
              <w:left w:val="single" w:color="auto" w:sz="4" w:space="0"/>
              <w:bottom w:val="single" w:color="auto" w:sz="4" w:space="0"/>
              <w:right w:val="single" w:color="auto" w:sz="4" w:space="0"/>
            </w:tcBorders>
            <w:shd w:val="clear" w:color="auto" w:fill="auto"/>
            <w:vAlign w:val="center"/>
          </w:tcPr>
          <w:p w14:paraId="530B2700">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比差值（±%）</w:t>
            </w:r>
          </w:p>
        </w:tc>
        <w:tc>
          <w:tcPr>
            <w:tcW w:w="733" w:type="dxa"/>
            <w:tcBorders>
              <w:top w:val="single" w:color="auto" w:sz="4" w:space="0"/>
              <w:left w:val="nil"/>
              <w:bottom w:val="single" w:color="auto" w:sz="4" w:space="0"/>
              <w:right w:val="single" w:color="auto" w:sz="4" w:space="0"/>
            </w:tcBorders>
            <w:shd w:val="clear" w:color="auto" w:fill="auto"/>
            <w:vAlign w:val="center"/>
          </w:tcPr>
          <w:p w14:paraId="4EC13299">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3</w:t>
            </w:r>
          </w:p>
        </w:tc>
        <w:tc>
          <w:tcPr>
            <w:tcW w:w="814" w:type="dxa"/>
            <w:tcBorders>
              <w:top w:val="single" w:color="auto" w:sz="4" w:space="0"/>
              <w:left w:val="nil"/>
              <w:bottom w:val="single" w:color="auto" w:sz="4" w:space="0"/>
              <w:right w:val="single" w:color="auto" w:sz="4" w:space="0"/>
            </w:tcBorders>
            <w:shd w:val="clear" w:color="auto" w:fill="auto"/>
            <w:vAlign w:val="center"/>
          </w:tcPr>
          <w:p w14:paraId="1EC1AC01">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3</w:t>
            </w:r>
          </w:p>
        </w:tc>
        <w:tc>
          <w:tcPr>
            <w:tcW w:w="988" w:type="dxa"/>
            <w:tcBorders>
              <w:top w:val="single" w:color="auto" w:sz="4" w:space="0"/>
              <w:left w:val="nil"/>
              <w:bottom w:val="single" w:color="auto" w:sz="4" w:space="0"/>
              <w:right w:val="single" w:color="auto" w:sz="4" w:space="0"/>
            </w:tcBorders>
            <w:shd w:val="clear" w:color="auto" w:fill="auto"/>
            <w:vAlign w:val="center"/>
          </w:tcPr>
          <w:p w14:paraId="2322F634">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3</w:t>
            </w:r>
          </w:p>
        </w:tc>
        <w:tc>
          <w:tcPr>
            <w:tcW w:w="3828" w:type="dxa"/>
            <w:tcBorders>
              <w:top w:val="single" w:color="auto" w:sz="4" w:space="0"/>
              <w:left w:val="nil"/>
              <w:bottom w:val="single" w:color="auto" w:sz="4" w:space="0"/>
              <w:right w:val="single" w:color="auto" w:sz="4" w:space="0"/>
            </w:tcBorders>
            <w:shd w:val="clear" w:color="auto" w:fill="auto"/>
            <w:vAlign w:val="center"/>
          </w:tcPr>
          <w:p w14:paraId="3EA5C709">
            <w:pPr>
              <w:pStyle w:val="22"/>
              <w:spacing w:before="240" w:beforeAutospacing="0" w:after="120" w:afterAutospacing="0" w:line="360" w:lineRule="auto"/>
              <w:jc w:val="center"/>
              <w:rPr>
                <w:bCs/>
                <w:kern w:val="28"/>
                <w:sz w:val="21"/>
                <w:szCs w:val="21"/>
                <w:highlight w:val="none"/>
              </w:rPr>
            </w:pPr>
            <w:r>
              <w:rPr>
                <w:rFonts w:hint="eastAsia"/>
                <w:bCs/>
                <w:kern w:val="28"/>
                <w:sz w:val="21"/>
                <w:szCs w:val="21"/>
                <w:highlight w:val="none"/>
              </w:rPr>
              <w:t>10</w:t>
            </w:r>
          </w:p>
        </w:tc>
      </w:tr>
    </w:tbl>
    <w:p w14:paraId="48D3C3C7">
      <w:pPr>
        <w:pStyle w:val="22"/>
        <w:spacing w:before="240" w:beforeAutospacing="0" w:after="120" w:afterAutospacing="0"/>
        <w:jc w:val="both"/>
        <w:rPr>
          <w:rFonts w:ascii="Cambria" w:hAnsi="Cambria" w:eastAsia="黑体"/>
          <w:bCs/>
          <w:kern w:val="28"/>
          <w:sz w:val="21"/>
          <w:szCs w:val="21"/>
          <w:highlight w:val="none"/>
        </w:rPr>
      </w:pPr>
      <w:r>
        <w:rPr>
          <w:rFonts w:hint="eastAsia" w:cs="宋体"/>
          <w:bCs/>
          <w:color w:val="000000"/>
          <w:kern w:val="28"/>
          <w:sz w:val="21"/>
          <w:szCs w:val="21"/>
          <w:highlight w:val="none"/>
        </w:rPr>
        <w:t>2) 零序电流额定值</w:t>
      </w:r>
      <w:r>
        <w:rPr>
          <w:rFonts w:hint="eastAsia"/>
          <w:bCs/>
          <w:color w:val="000000"/>
          <w:kern w:val="28"/>
          <w:sz w:val="21"/>
          <w:szCs w:val="21"/>
          <w:highlight w:val="none"/>
        </w:rPr>
        <w:t xml:space="preserve"> </w:t>
      </w:r>
      <w:r>
        <w:rPr>
          <w:rFonts w:hint="eastAsia" w:cs="宋体"/>
          <w:bCs/>
          <w:color w:val="000000"/>
          <w:kern w:val="28"/>
          <w:sz w:val="21"/>
          <w:szCs w:val="21"/>
          <w:highlight w:val="none"/>
        </w:rPr>
        <w:t>20A/0.2V， 误差限值如表</w:t>
      </w:r>
      <w:r>
        <w:rPr>
          <w:rFonts w:hint="eastAsia" w:cs="宋体"/>
          <w:bCs/>
          <w:color w:val="000000"/>
          <w:kern w:val="28"/>
          <w:sz w:val="21"/>
          <w:szCs w:val="21"/>
          <w:highlight w:val="none"/>
          <w:lang w:val="en-US" w:eastAsia="zh-CN"/>
        </w:rPr>
        <w:t>5-</w:t>
      </w:r>
      <w:r>
        <w:rPr>
          <w:rFonts w:hint="eastAsia" w:cs="宋体"/>
          <w:bCs/>
          <w:color w:val="000000"/>
          <w:kern w:val="28"/>
          <w:sz w:val="21"/>
          <w:szCs w:val="21"/>
          <w:highlight w:val="none"/>
        </w:rPr>
        <w:t>3所示，</w:t>
      </w:r>
      <w:r>
        <w:rPr>
          <w:rFonts w:hint="eastAsia"/>
          <w:bCs/>
          <w:color w:val="000000"/>
          <w:kern w:val="28"/>
          <w:sz w:val="21"/>
          <w:szCs w:val="21"/>
          <w:highlight w:val="none"/>
        </w:rPr>
        <w:t xml:space="preserve"> </w:t>
      </w:r>
      <w:r>
        <w:rPr>
          <w:rFonts w:hint="eastAsia" w:cs="宋体"/>
          <w:bCs/>
          <w:color w:val="000000"/>
          <w:kern w:val="28"/>
          <w:sz w:val="21"/>
          <w:szCs w:val="21"/>
          <w:highlight w:val="none"/>
        </w:rPr>
        <w:t>保护准确级</w:t>
      </w:r>
      <w:r>
        <w:rPr>
          <w:rFonts w:hint="eastAsia"/>
          <w:bCs/>
          <w:color w:val="000000"/>
          <w:kern w:val="28"/>
          <w:sz w:val="21"/>
          <w:szCs w:val="21"/>
          <w:highlight w:val="none"/>
        </w:rPr>
        <w:t xml:space="preserve"> </w:t>
      </w:r>
      <w:r>
        <w:rPr>
          <w:rFonts w:hint="eastAsia" w:cs="宋体"/>
          <w:bCs/>
          <w:color w:val="000000"/>
          <w:kern w:val="28"/>
          <w:sz w:val="21"/>
          <w:szCs w:val="21"/>
          <w:highlight w:val="none"/>
        </w:rPr>
        <w:t>10P5， 额定负荷≥20kΩ 。</w:t>
      </w:r>
    </w:p>
    <w:bookmarkEnd w:id="27"/>
    <w:bookmarkEnd w:id="28"/>
    <w:bookmarkEnd w:id="29"/>
    <w:p w14:paraId="3F1693BD">
      <w:pPr>
        <w:pStyle w:val="4"/>
        <w:spacing w:before="0" w:after="0" w:line="360" w:lineRule="auto"/>
        <w:rPr>
          <w:rFonts w:ascii="黑体" w:hAnsi="黑体" w:eastAsia="黑体" w:cs="Times New Roman"/>
          <w:b w:val="0"/>
          <w:color w:val="000000"/>
          <w:sz w:val="21"/>
          <w:szCs w:val="20"/>
          <w:highlight w:val="none"/>
        </w:rPr>
      </w:pPr>
      <w:bookmarkStart w:id="30" w:name="_Toc119492237"/>
      <w:bookmarkStart w:id="31" w:name="_Toc119491193"/>
      <w:bookmarkStart w:id="32" w:name="_Toc119488998"/>
      <w:r>
        <w:rPr>
          <w:rFonts w:hint="eastAsia" w:ascii="黑体" w:hAnsi="黑体" w:eastAsia="黑体" w:cs="Times New Roman"/>
          <w:b w:val="0"/>
          <w:color w:val="000000"/>
          <w:sz w:val="21"/>
          <w:szCs w:val="20"/>
          <w:highlight w:val="none"/>
        </w:rPr>
        <w:t>6 技术要求</w:t>
      </w:r>
      <w:bookmarkEnd w:id="30"/>
      <w:bookmarkEnd w:id="31"/>
      <w:bookmarkEnd w:id="32"/>
    </w:p>
    <w:p w14:paraId="3E39E70F">
      <w:pPr>
        <w:pStyle w:val="5"/>
        <w:spacing w:before="0" w:after="0" w:line="360" w:lineRule="auto"/>
        <w:ind w:left="199" w:hanging="199" w:hangingChars="95"/>
        <w:rPr>
          <w:rFonts w:ascii="黑体" w:hAnsi="黑体" w:cs="黑体"/>
          <w:b w:val="0"/>
          <w:bCs/>
          <w:sz w:val="21"/>
          <w:szCs w:val="21"/>
          <w:highlight w:val="none"/>
        </w:rPr>
      </w:pPr>
      <w:bookmarkStart w:id="33" w:name="_Toc119492238"/>
      <w:bookmarkStart w:id="34" w:name="_Toc119491194"/>
      <w:r>
        <w:rPr>
          <w:rFonts w:hint="eastAsia" w:ascii="黑体" w:hAnsi="黑体" w:cs="黑体"/>
          <w:b w:val="0"/>
          <w:bCs/>
          <w:sz w:val="21"/>
          <w:szCs w:val="21"/>
          <w:highlight w:val="none"/>
        </w:rPr>
        <w:t>6.1一般要求</w:t>
      </w:r>
      <w:bookmarkEnd w:id="33"/>
      <w:bookmarkEnd w:id="34"/>
      <w:r>
        <w:rPr>
          <w:rFonts w:hint="eastAsia" w:ascii="黑体" w:hAnsi="黑体" w:cs="黑体"/>
          <w:b w:val="0"/>
          <w:bCs/>
          <w:sz w:val="21"/>
          <w:szCs w:val="21"/>
          <w:highlight w:val="none"/>
        </w:rPr>
        <w:t xml:space="preserve"> </w:t>
      </w:r>
    </w:p>
    <w:p w14:paraId="59CBE23F">
      <w:pPr>
        <w:autoSpaceDE w:val="0"/>
        <w:autoSpaceDN w:val="0"/>
        <w:adjustRightInd w:val="0"/>
        <w:ind w:firstLine="420" w:firstLineChars="200"/>
        <w:rPr>
          <w:rFonts w:ascii="宋体" w:hAnsi="宋体" w:eastAsia="宋体" w:cs="宋体"/>
          <w:color w:val="auto"/>
          <w:highlight w:val="none"/>
        </w:rPr>
      </w:pPr>
      <w:r>
        <w:rPr>
          <w:rFonts w:hint="eastAsia" w:hAnsi="宋体"/>
          <w:color w:val="auto"/>
          <w:highlight w:val="none"/>
        </w:rPr>
        <w:t>SF</w:t>
      </w:r>
      <w:r>
        <w:rPr>
          <w:rFonts w:hint="eastAsia" w:hAnsi="宋体"/>
          <w:color w:val="auto"/>
          <w:highlight w:val="none"/>
          <w:vertAlign w:val="subscript"/>
        </w:rPr>
        <w:t>6</w:t>
      </w:r>
      <w:r>
        <w:rPr>
          <w:rFonts w:hint="eastAsia" w:hAnsi="宋体"/>
          <w:color w:val="auto"/>
          <w:highlight w:val="none"/>
        </w:rPr>
        <w:t>气体全绝缘环网开关柜</w:t>
      </w:r>
      <w:r>
        <w:rPr>
          <w:rFonts w:hint="eastAsia" w:ascii="宋体" w:hAnsi="宋体" w:eastAsia="宋体" w:cs="宋体"/>
          <w:color w:val="auto"/>
          <w:highlight w:val="none"/>
        </w:rPr>
        <w:t>配电自动化成套设备应具备下列基本要求：</w:t>
      </w:r>
    </w:p>
    <w:p w14:paraId="4C7049A7">
      <w:pPr>
        <w:autoSpaceDE w:val="0"/>
        <w:autoSpaceDN w:val="0"/>
        <w:adjustRightInd w:val="0"/>
        <w:ind w:firstLine="420" w:firstLineChars="200"/>
        <w:rPr>
          <w:rFonts w:ascii="宋体" w:hAnsi="宋体" w:eastAsia="宋体" w:cs="宋体"/>
          <w:color w:val="auto"/>
          <w:highlight w:val="none"/>
        </w:rPr>
      </w:pPr>
      <w:r>
        <w:rPr>
          <w:rFonts w:hint="eastAsia" w:ascii="宋体" w:hAnsi="宋体" w:eastAsia="宋体" w:cs="宋体"/>
          <w:color w:val="auto"/>
          <w:highlight w:val="none"/>
        </w:rPr>
        <w:t>a）</w:t>
      </w:r>
      <w:r>
        <w:rPr>
          <w:rFonts w:hint="eastAsia" w:hAnsi="宋体"/>
          <w:color w:val="auto"/>
          <w:highlight w:val="none"/>
        </w:rPr>
        <w:t>SF</w:t>
      </w:r>
      <w:r>
        <w:rPr>
          <w:rFonts w:hint="eastAsia" w:hAnsi="宋体"/>
          <w:color w:val="auto"/>
          <w:highlight w:val="none"/>
          <w:vertAlign w:val="subscript"/>
        </w:rPr>
        <w:t>6</w:t>
      </w:r>
      <w:r>
        <w:rPr>
          <w:rFonts w:hint="eastAsia" w:hAnsi="宋体"/>
          <w:color w:val="auto"/>
          <w:highlight w:val="none"/>
        </w:rPr>
        <w:t>气体全绝缘环网开关柜</w:t>
      </w:r>
      <w:r>
        <w:rPr>
          <w:rFonts w:hint="eastAsia" w:ascii="宋体" w:hAnsi="宋体" w:eastAsia="宋体" w:cs="宋体"/>
          <w:color w:val="auto"/>
          <w:highlight w:val="none"/>
        </w:rPr>
        <w:t>辅助和控制设备应满足DL/T 593的5.4要求。</w:t>
      </w:r>
    </w:p>
    <w:p w14:paraId="6C54D415">
      <w:pPr>
        <w:autoSpaceDE w:val="0"/>
        <w:autoSpaceDN w:val="0"/>
        <w:adjustRightInd w:val="0"/>
        <w:ind w:firstLine="420" w:firstLineChars="200"/>
        <w:rPr>
          <w:rFonts w:ascii="宋体" w:hAnsi="宋体" w:eastAsia="宋体" w:cs="宋体"/>
          <w:highlight w:val="none"/>
        </w:rPr>
      </w:pPr>
      <w:r>
        <w:rPr>
          <w:rFonts w:hint="eastAsia" w:ascii="宋体" w:hAnsi="宋体" w:eastAsia="宋体" w:cs="宋体"/>
          <w:color w:val="auto"/>
          <w:highlight w:val="none"/>
        </w:rPr>
        <w:t>b）控制设备及连接电缆应进行电气</w:t>
      </w:r>
      <w:r>
        <w:rPr>
          <w:rFonts w:hint="eastAsia" w:ascii="宋体" w:hAnsi="宋体" w:eastAsia="宋体" w:cs="宋体"/>
          <w:highlight w:val="none"/>
        </w:rPr>
        <w:t>参数及接口结构的标准化设计，应能实现互换，宜满足带电更换。</w:t>
      </w:r>
    </w:p>
    <w:p w14:paraId="40ACF193">
      <w:pPr>
        <w:autoSpaceDE w:val="0"/>
        <w:autoSpaceDN w:val="0"/>
        <w:adjustRightInd w:val="0"/>
        <w:ind w:firstLine="420" w:firstLineChars="200"/>
        <w:rPr>
          <w:rFonts w:ascii="宋体" w:hAnsi="宋体" w:eastAsia="宋体" w:cs="宋体"/>
          <w:highlight w:val="none"/>
        </w:rPr>
      </w:pPr>
      <w:r>
        <w:rPr>
          <w:rFonts w:hint="eastAsia" w:ascii="宋体" w:hAnsi="宋体" w:eastAsia="宋体" w:cs="宋体"/>
          <w:highlight w:val="none"/>
        </w:rPr>
        <w:t>c）各部件连接应满足以下要求：</w:t>
      </w:r>
    </w:p>
    <w:p w14:paraId="3BA96D8F">
      <w:pPr>
        <w:autoSpaceDE w:val="0"/>
        <w:autoSpaceDN w:val="0"/>
        <w:adjustRightInd w:val="0"/>
        <w:ind w:firstLine="420" w:firstLineChars="200"/>
        <w:rPr>
          <w:rFonts w:ascii="宋体" w:hAnsi="宋体" w:eastAsia="宋体" w:cs="宋体"/>
        </w:rPr>
      </w:pPr>
      <w:r>
        <w:rPr>
          <w:rFonts w:hint="eastAsia" w:ascii="宋体" w:hAnsi="宋体" w:eastAsia="宋体" w:cs="宋体"/>
        </w:rPr>
        <w:t>1）阻抗匹配以交流阻抗为标准。</w:t>
      </w:r>
    </w:p>
    <w:p w14:paraId="4CA50277">
      <w:pPr>
        <w:autoSpaceDE w:val="0"/>
        <w:autoSpaceDN w:val="0"/>
        <w:adjustRightInd w:val="0"/>
        <w:ind w:firstLine="420" w:firstLineChars="200"/>
        <w:rPr>
          <w:rFonts w:ascii="宋体" w:hAnsi="宋体" w:eastAsia="宋体" w:cs="宋体"/>
        </w:rPr>
      </w:pPr>
      <w:r>
        <w:rPr>
          <w:rFonts w:hint="eastAsia" w:ascii="宋体" w:hAnsi="宋体" w:eastAsia="宋体" w:cs="宋体"/>
        </w:rPr>
        <w:t>2）各部分组件间连接结构一致，插拔方便且具备锁紧、防脱、防误插、电流防开路功能。</w:t>
      </w:r>
    </w:p>
    <w:p w14:paraId="205E7EA6">
      <w:pPr>
        <w:pStyle w:val="66"/>
        <w:outlineLvl w:val="2"/>
        <w:rPr>
          <w:rFonts w:hint="default" w:cs="黑体"/>
          <w:szCs w:val="21"/>
          <w:highlight w:val="magenta"/>
        </w:rPr>
      </w:pPr>
      <w:bookmarkStart w:id="35" w:name="_Toc119491195"/>
      <w:bookmarkStart w:id="36" w:name="_Toc119492239"/>
      <w:bookmarkStart w:id="37" w:name="_Toc119488999"/>
      <w:r>
        <w:t>6.1.1正常操作要求</w:t>
      </w:r>
      <w:bookmarkEnd w:id="35"/>
      <w:bookmarkEnd w:id="36"/>
      <w:bookmarkEnd w:id="37"/>
    </w:p>
    <w:p w14:paraId="2744AD06">
      <w:pPr>
        <w:autoSpaceDE w:val="0"/>
        <w:autoSpaceDN w:val="0"/>
        <w:adjustRightInd w:val="0"/>
        <w:ind w:firstLine="420" w:firstLineChars="200"/>
        <w:rPr>
          <w:rFonts w:ascii="宋体" w:hAnsi="宋体" w:eastAsia="宋体" w:cs="宋体"/>
        </w:rPr>
      </w:pPr>
      <w:r>
        <w:rPr>
          <w:rFonts w:hint="eastAsia" w:ascii="宋体" w:hAnsi="宋体" w:eastAsia="宋体" w:cs="宋体"/>
        </w:rPr>
        <w:t>a）适用主回路正常运行，二次设备（包括主站通讯中断、配电自动化终端装置异常、传感器异常等）异常情况下不可影响主回路正常运行；</w:t>
      </w:r>
    </w:p>
    <w:p w14:paraId="1425FD79">
      <w:pPr>
        <w:autoSpaceDE w:val="0"/>
        <w:autoSpaceDN w:val="0"/>
        <w:adjustRightInd w:val="0"/>
        <w:ind w:firstLine="420" w:firstLineChars="200"/>
        <w:rPr>
          <w:rFonts w:ascii="宋体" w:hAnsi="宋体" w:eastAsia="宋体" w:cs="宋体"/>
        </w:rPr>
      </w:pPr>
      <w:r>
        <w:rPr>
          <w:rFonts w:hint="eastAsia" w:ascii="宋体" w:hAnsi="宋体" w:eastAsia="宋体" w:cs="宋体"/>
        </w:rPr>
        <w:t>b）适用运维人员能够方便、直观检查各型设备工况；</w:t>
      </w:r>
    </w:p>
    <w:p w14:paraId="7D2892B0">
      <w:pPr>
        <w:autoSpaceDE w:val="0"/>
        <w:autoSpaceDN w:val="0"/>
        <w:adjustRightInd w:val="0"/>
        <w:ind w:firstLine="420" w:firstLineChars="200"/>
        <w:rPr>
          <w:rFonts w:ascii="宋体" w:hAnsi="宋体" w:eastAsia="宋体" w:cs="宋体"/>
        </w:rPr>
      </w:pPr>
      <w:r>
        <w:rPr>
          <w:rFonts w:hint="eastAsia" w:ascii="宋体" w:hAnsi="宋体" w:eastAsia="宋体" w:cs="宋体"/>
        </w:rPr>
        <w:t>c）适用主回路带电状态下，二次设备（包括后备电源系统、配电自动化终端、传感器控制器等）可维护；</w:t>
      </w:r>
    </w:p>
    <w:p w14:paraId="2D8CA25A">
      <w:pPr>
        <w:autoSpaceDE w:val="0"/>
        <w:autoSpaceDN w:val="0"/>
        <w:adjustRightInd w:val="0"/>
        <w:ind w:firstLine="420" w:firstLineChars="200"/>
        <w:rPr>
          <w:rFonts w:ascii="宋体" w:hAnsi="宋体" w:eastAsia="宋体" w:cs="宋体"/>
        </w:rPr>
      </w:pPr>
      <w:r>
        <w:rPr>
          <w:rFonts w:hint="eastAsia" w:ascii="宋体" w:hAnsi="宋体" w:eastAsia="宋体" w:cs="宋体"/>
        </w:rPr>
        <w:t>d）适用不带电状态所有设备维护；</w:t>
      </w:r>
    </w:p>
    <w:p w14:paraId="5196E1A0">
      <w:pPr>
        <w:autoSpaceDE w:val="0"/>
        <w:autoSpaceDN w:val="0"/>
        <w:adjustRightInd w:val="0"/>
        <w:ind w:firstLine="420" w:firstLineChars="200"/>
        <w:rPr>
          <w:rFonts w:ascii="宋体" w:hAnsi="宋体" w:eastAsia="宋体" w:cs="宋体"/>
        </w:rPr>
      </w:pPr>
      <w:r>
        <w:rPr>
          <w:rFonts w:hint="eastAsia" w:ascii="宋体" w:hAnsi="宋体" w:eastAsia="宋体" w:cs="宋体"/>
        </w:rPr>
        <w:t xml:space="preserve">e）适用主回路带电或不带电状态的确定，包括相序检查、开关状态检查； </w:t>
      </w:r>
    </w:p>
    <w:p w14:paraId="7E709F69">
      <w:pPr>
        <w:autoSpaceDE w:val="0"/>
        <w:autoSpaceDN w:val="0"/>
        <w:adjustRightInd w:val="0"/>
        <w:ind w:firstLine="420" w:firstLineChars="200"/>
        <w:rPr>
          <w:rFonts w:ascii="宋体" w:hAnsi="宋体" w:eastAsia="宋体" w:cs="宋体"/>
        </w:rPr>
      </w:pPr>
      <w:r>
        <w:rPr>
          <w:rFonts w:hint="eastAsia" w:ascii="宋体" w:hAnsi="宋体" w:eastAsia="宋体" w:cs="宋体"/>
        </w:rPr>
        <w:t>f）适用一二次连接电缆或其他器件的电压试验以及消除危险的静电电荷。</w:t>
      </w:r>
    </w:p>
    <w:p w14:paraId="463A2128">
      <w:pPr>
        <w:autoSpaceDE w:val="0"/>
        <w:autoSpaceDN w:val="0"/>
        <w:adjustRightInd w:val="0"/>
        <w:ind w:firstLine="420" w:firstLineChars="200"/>
        <w:rPr>
          <w:rFonts w:ascii="宋体" w:hAnsi="宋体" w:eastAsia="宋体" w:cs="宋体"/>
        </w:rPr>
      </w:pPr>
      <w:r>
        <w:rPr>
          <w:rFonts w:hint="eastAsia" w:ascii="宋体" w:hAnsi="宋体" w:eastAsia="宋体" w:cs="宋体"/>
        </w:rPr>
        <w:t>g）适用主回路带电环网柜开关操作就地及远方操作时，机械、电气、软件三重防误闭锁，确保人身安全。</w:t>
      </w:r>
    </w:p>
    <w:p w14:paraId="17C109AF">
      <w:pPr>
        <w:pStyle w:val="66"/>
        <w:outlineLvl w:val="2"/>
        <w:rPr>
          <w:rFonts w:hint="default"/>
        </w:rPr>
      </w:pPr>
      <w:bookmarkStart w:id="38" w:name="_Toc119489000"/>
      <w:bookmarkStart w:id="39" w:name="_Toc119491196"/>
      <w:bookmarkStart w:id="40" w:name="_Toc119492240"/>
      <w:r>
        <w:t>6.1.2并柜接口要求</w:t>
      </w:r>
      <w:bookmarkEnd w:id="38"/>
      <w:bookmarkEnd w:id="39"/>
      <w:bookmarkEnd w:id="40"/>
    </w:p>
    <w:p w14:paraId="22738358">
      <w:pPr>
        <w:autoSpaceDE w:val="0"/>
        <w:autoSpaceDN w:val="0"/>
        <w:adjustRightInd w:val="0"/>
        <w:ind w:firstLine="420" w:firstLineChars="200"/>
        <w:jc w:val="left"/>
        <w:rPr>
          <w:rFonts w:ascii="宋体" w:hAnsi="宋体" w:eastAsia="宋体" w:cs="宋体"/>
        </w:rPr>
      </w:pPr>
      <w:r>
        <w:rPr>
          <w:rFonts w:ascii="宋体" w:hAnsi="宋体" w:eastAsia="宋体" w:cs="宋体"/>
        </w:rPr>
        <w:t>开关柜高度、深度应保持一致，主母线采用双向左右侧面扩展，扩展口相间距中心距离及对地水平距离应保持一致，并接母线的结构设计、外形尺寸连接方式应保持一致，扩展母线采用球形设计。</w:t>
      </w:r>
    </w:p>
    <w:p w14:paraId="7D0CCBB8">
      <w:pPr>
        <w:pStyle w:val="66"/>
        <w:outlineLvl w:val="2"/>
        <w:rPr>
          <w:rFonts w:hint="default"/>
        </w:rPr>
      </w:pPr>
      <w:bookmarkStart w:id="41" w:name="_Toc119489001"/>
      <w:bookmarkStart w:id="42" w:name="_Toc119492241"/>
      <w:bookmarkStart w:id="43" w:name="_Toc119491197"/>
      <w:r>
        <w:t>6.1.3互换性要求</w:t>
      </w:r>
      <w:bookmarkEnd w:id="41"/>
      <w:bookmarkEnd w:id="42"/>
      <w:bookmarkEnd w:id="43"/>
    </w:p>
    <w:p w14:paraId="08F3B746">
      <w:pPr>
        <w:autoSpaceDE w:val="0"/>
        <w:autoSpaceDN w:val="0"/>
        <w:adjustRightInd w:val="0"/>
        <w:ind w:firstLine="420" w:firstLineChars="200"/>
        <w:jc w:val="left"/>
        <w:rPr>
          <w:rFonts w:ascii="宋体" w:hAnsi="宋体" w:eastAsia="宋体" w:cs="宋体"/>
          <w:szCs w:val="21"/>
        </w:rPr>
      </w:pPr>
      <w:r>
        <w:rPr>
          <w:rFonts w:ascii="宋体" w:hAnsi="宋体" w:eastAsia="宋体" w:cs="宋体"/>
        </w:rPr>
        <w:t>类型、 额定值和结构相同的所有元件在机械上和电气上应有互换性。 当这些元件在机械上允许互</w:t>
      </w:r>
      <w:r>
        <w:rPr>
          <w:rFonts w:hint="eastAsia" w:ascii="宋体" w:hAnsi="宋体" w:eastAsia="宋体" w:cs="宋体"/>
          <w:color w:val="000000" w:themeColor="text1"/>
          <w14:textFill>
            <w14:solidFill>
              <w14:schemeClr w14:val="tx1"/>
            </w14:solidFill>
          </w14:textFill>
        </w:rPr>
        <w:t>换</w:t>
      </w:r>
      <w:r>
        <w:rPr>
          <w:rFonts w:ascii="宋体" w:hAnsi="宋体" w:eastAsia="宋体" w:cs="宋体"/>
        </w:rPr>
        <w:t xml:space="preserve">时，可以安装相同或较大的电流额定值和绝缘水平的元件， 以代替相同或者小的电流额定值和绝缘水平的元件。 </w:t>
      </w:r>
    </w:p>
    <w:p w14:paraId="78DE06CA">
      <w:pPr>
        <w:pStyle w:val="66"/>
        <w:outlineLvl w:val="2"/>
        <w:rPr>
          <w:rFonts w:hint="default" w:cs="黑体"/>
          <w:szCs w:val="21"/>
          <w:highlight w:val="magenta"/>
        </w:rPr>
      </w:pPr>
      <w:bookmarkStart w:id="44" w:name="_Toc119492242"/>
      <w:bookmarkStart w:id="45" w:name="_Toc119489002"/>
      <w:bookmarkStart w:id="46" w:name="_Toc119491198"/>
      <w:r>
        <w:t>6.1.4配电自动化终端</w:t>
      </w:r>
      <w:bookmarkEnd w:id="44"/>
      <w:bookmarkEnd w:id="45"/>
      <w:bookmarkEnd w:id="46"/>
    </w:p>
    <w:p w14:paraId="4648B9DB">
      <w:pPr>
        <w:autoSpaceDE w:val="0"/>
        <w:autoSpaceDN w:val="0"/>
        <w:adjustRightInd w:val="0"/>
        <w:ind w:firstLine="420" w:firstLineChars="200"/>
        <w:jc w:val="left"/>
        <w:rPr>
          <w:rFonts w:ascii="宋体" w:hAnsi="宋体" w:eastAsia="宋体" w:cs="宋体"/>
        </w:rPr>
      </w:pPr>
      <w:r>
        <w:rPr>
          <w:rFonts w:hint="eastAsia" w:ascii="宋体" w:hAnsi="宋体" w:eastAsia="宋体" w:cs="宋体"/>
        </w:rPr>
        <w:t>应满足GB/T 13729、DL/T 721、DL/T 1910的相关要求。安装在配电网的各类远方监测、控制单元，完成数据采集、控制、通信等功能。</w:t>
      </w:r>
    </w:p>
    <w:p w14:paraId="57511A1C">
      <w:pPr>
        <w:pStyle w:val="66"/>
        <w:outlineLvl w:val="2"/>
        <w:rPr>
          <w:rFonts w:hint="default" w:cs="黑体"/>
          <w:szCs w:val="21"/>
          <w:highlight w:val="magenta"/>
        </w:rPr>
      </w:pPr>
      <w:bookmarkStart w:id="47" w:name="_Toc119491199"/>
      <w:bookmarkStart w:id="48" w:name="_Toc119492243"/>
      <w:bookmarkStart w:id="49" w:name="_Toc119489003"/>
      <w:r>
        <w:t>6.1.5局部放电在线监测</w:t>
      </w:r>
      <w:bookmarkEnd w:id="47"/>
      <w:bookmarkEnd w:id="48"/>
      <w:bookmarkEnd w:id="49"/>
    </w:p>
    <w:p w14:paraId="1150D201">
      <w:pPr>
        <w:widowControl/>
        <w:ind w:firstLine="420" w:firstLineChars="200"/>
        <w:jc w:val="left"/>
        <w:rPr>
          <w:rFonts w:ascii="宋体" w:hAnsi="宋体" w:eastAsia="宋体" w:cs="宋体"/>
        </w:rPr>
      </w:pPr>
      <w:r>
        <w:rPr>
          <w:rFonts w:hint="eastAsia" w:ascii="宋体" w:hAnsi="宋体" w:eastAsia="宋体" w:cs="宋体"/>
        </w:rPr>
        <w:t>开关柜宜配置局部放电在线监测技术（如超声波、暂态地电压等局部放电综合监测技术），局部放电监测装置应采用模块化设计，传感器应内置于高压电缆室内，提高测量精度和抗干扰能力，采用内置于高压电缆室内的传感器，应能实现带电更换。局部放电装置应具备以太网接口、RS485接口等通信接口，以太网接口具备内置web浏览器查看实时数据、PRPD图谱、PRPS图谱、历史趋势图等功能。</w:t>
      </w:r>
    </w:p>
    <w:p w14:paraId="65EF5378">
      <w:pPr>
        <w:pStyle w:val="66"/>
        <w:outlineLvl w:val="2"/>
        <w:rPr>
          <w:rFonts w:hint="default" w:cs="黑体"/>
          <w:szCs w:val="21"/>
          <w:highlight w:val="magenta"/>
        </w:rPr>
      </w:pPr>
      <w:bookmarkStart w:id="50" w:name="_Toc119492244"/>
      <w:bookmarkStart w:id="51" w:name="_Toc119491200"/>
      <w:bookmarkStart w:id="52" w:name="_Toc119489004"/>
      <w:r>
        <w:t>6.1.6温度在线监测</w:t>
      </w:r>
      <w:bookmarkEnd w:id="50"/>
      <w:bookmarkEnd w:id="51"/>
      <w:bookmarkEnd w:id="52"/>
      <w:r>
        <w:t xml:space="preserve">   </w:t>
      </w:r>
    </w:p>
    <w:p w14:paraId="7A97B218">
      <w:pPr>
        <w:ind w:firstLine="420" w:firstLineChars="200"/>
        <w:jc w:val="left"/>
        <w:rPr>
          <w:rFonts w:ascii="宋体" w:hAnsi="宋体" w:eastAsia="宋体" w:cs="宋体"/>
        </w:rPr>
      </w:pPr>
      <w:r>
        <w:rPr>
          <w:rFonts w:hint="eastAsia" w:ascii="宋体" w:hAnsi="宋体" w:eastAsia="宋体" w:cs="宋体"/>
        </w:rPr>
        <w:t>开关柜宜配置无线测温技术。无线测温技术应采用低功耗、模块化设计。传感器采用无源型，其与采集终端之间采用无线通信方式。无线测温装置应具备RS485、以太网等通信接口。</w:t>
      </w:r>
    </w:p>
    <w:p w14:paraId="5C4302B6">
      <w:pPr>
        <w:pStyle w:val="5"/>
        <w:spacing w:before="0" w:after="0" w:line="360" w:lineRule="auto"/>
        <w:ind w:left="199" w:hanging="199" w:hangingChars="95"/>
        <w:rPr>
          <w:rFonts w:ascii="黑体" w:hAnsi="黑体" w:cs="黑体"/>
          <w:b w:val="0"/>
          <w:bCs/>
          <w:sz w:val="21"/>
          <w:szCs w:val="21"/>
        </w:rPr>
      </w:pPr>
      <w:bookmarkStart w:id="53" w:name="_Toc119491201"/>
      <w:bookmarkStart w:id="54" w:name="_Toc119492245"/>
      <w:r>
        <w:rPr>
          <w:rFonts w:hint="eastAsia" w:ascii="黑体" w:hAnsi="黑体" w:cs="黑体"/>
          <w:b w:val="0"/>
          <w:bCs/>
          <w:sz w:val="21"/>
          <w:szCs w:val="21"/>
        </w:rPr>
        <w:t>6.2外观与结构</w:t>
      </w:r>
      <w:bookmarkEnd w:id="53"/>
      <w:bookmarkEnd w:id="54"/>
    </w:p>
    <w:p w14:paraId="40F221A2">
      <w:pPr>
        <w:pStyle w:val="66"/>
        <w:outlineLvl w:val="2"/>
        <w:rPr>
          <w:rFonts w:hint="default"/>
        </w:rPr>
      </w:pPr>
      <w:bookmarkStart w:id="55" w:name="_Toc119491202"/>
      <w:bookmarkStart w:id="56" w:name="_Toc119492246"/>
      <w:bookmarkStart w:id="57" w:name="_Toc119489005"/>
      <w:r>
        <w:t>6.2.1自动化成套设备外壳与结构</w:t>
      </w:r>
      <w:bookmarkEnd w:id="55"/>
      <w:bookmarkEnd w:id="56"/>
      <w:bookmarkEnd w:id="57"/>
    </w:p>
    <w:p w14:paraId="368F2E0A">
      <w:pPr>
        <w:pStyle w:val="42"/>
        <w:adjustRightInd w:val="0"/>
        <w:snapToGrid w:val="0"/>
        <w:spacing w:line="240" w:lineRule="auto"/>
        <w:outlineLvl w:val="3"/>
        <w:rPr>
          <w:rFonts w:ascii="宋体" w:hAnsi="宋体" w:eastAsia="宋体" w:cs="宋体"/>
          <w:kern w:val="2"/>
          <w:sz w:val="21"/>
          <w:szCs w:val="24"/>
        </w:rPr>
      </w:pPr>
      <w:r>
        <w:rPr>
          <w:rFonts w:hint="eastAsia" w:ascii="宋体" w:hAnsi="宋体" w:eastAsia="宋体" w:cs="宋体"/>
          <w:kern w:val="2"/>
          <w:sz w:val="21"/>
          <w:szCs w:val="24"/>
        </w:rPr>
        <w:t>a）开关柜</w:t>
      </w:r>
    </w:p>
    <w:p w14:paraId="45FD97B6">
      <w:pPr>
        <w:widowControl/>
        <w:ind w:firstLine="420" w:firstLineChars="200"/>
        <w:jc w:val="left"/>
        <w:rPr>
          <w:rFonts w:ascii="宋体" w:hAnsi="宋体" w:eastAsia="宋体" w:cs="宋体"/>
        </w:rPr>
      </w:pPr>
      <w:r>
        <w:rPr>
          <w:rFonts w:hint="eastAsia" w:ascii="宋体" w:hAnsi="宋体" w:eastAsia="宋体" w:cs="宋体"/>
        </w:rPr>
        <w:t xml:space="preserve">除满足GB/T 3906、GB/T 11022、DL/T 593等相关要求外，还应满足如下要求： </w:t>
      </w:r>
    </w:p>
    <w:p w14:paraId="65A8DC08">
      <w:pPr>
        <w:numPr>
          <w:ilvl w:val="0"/>
          <w:numId w:val="3"/>
        </w:numPr>
        <w:ind w:firstLine="630" w:firstLineChars="300"/>
        <w:jc w:val="left"/>
        <w:rPr>
          <w:rFonts w:ascii="宋体" w:hAnsi="宋体" w:eastAsia="宋体" w:cs="宋体"/>
        </w:rPr>
      </w:pPr>
      <w:r>
        <w:rPr>
          <w:rFonts w:hint="eastAsia" w:ascii="宋体" w:hAnsi="宋体" w:eastAsia="宋体" w:cs="宋体"/>
        </w:rPr>
        <w:t>成套设备配电自动化（DTU）采用军品级航空接插件连接或采用背板总线方式，方便装置或插件更换。二次端子排应采用阻燃V0级可通断端子，连接导线和端子必须采用铜质零件。</w:t>
      </w:r>
    </w:p>
    <w:p w14:paraId="43A5DE11">
      <w:pPr>
        <w:ind w:firstLine="630" w:firstLineChars="300"/>
        <w:jc w:val="left"/>
        <w:rPr>
          <w:rFonts w:ascii="宋体" w:hAnsi="宋体" w:eastAsia="宋体" w:cs="宋体"/>
        </w:rPr>
      </w:pPr>
      <w:r>
        <w:rPr>
          <w:rFonts w:hint="eastAsia" w:ascii="宋体" w:hAnsi="宋体" w:eastAsia="宋体" w:cs="宋体"/>
        </w:rPr>
        <w:t>2) 成套设备配电自动化终端采用金属外壳，材料标称厚度</w:t>
      </w:r>
      <w:r>
        <w:rPr>
          <w:rFonts w:ascii="宋体" w:hAnsi="宋体" w:eastAsia="宋体" w:cs="宋体"/>
        </w:rPr>
        <w:t>1.5mm</w:t>
      </w:r>
      <w:r>
        <w:rPr>
          <w:rFonts w:hint="eastAsia" w:ascii="宋体" w:hAnsi="宋体" w:eastAsia="宋体" w:cs="宋体"/>
        </w:rPr>
        <w:t>，板材厚度尺寸精度符合GB/T 708中PT.B的要求；表面作喷涂或氧化处理，颜色与环网柜本体协调。保护控制单元所有紧固件均应选用不锈钢材质。保护控制单元应设置专用接地引线安装螺栓及接地标志。</w:t>
      </w:r>
    </w:p>
    <w:p w14:paraId="27EC2B2E">
      <w:pPr>
        <w:ind w:firstLine="630" w:firstLineChars="300"/>
        <w:jc w:val="left"/>
        <w:rPr>
          <w:rFonts w:ascii="宋体" w:hAnsi="宋体" w:eastAsia="宋体" w:cs="宋体"/>
        </w:rPr>
      </w:pPr>
      <w:r>
        <w:rPr>
          <w:rFonts w:hint="eastAsia" w:ascii="宋体" w:hAnsi="宋体" w:eastAsia="宋体" w:cs="宋体"/>
        </w:rPr>
        <w:t xml:space="preserve">3) 成套自动化设备应由能够承受在规定的使用条件下产生的机械应力、电气应力、热应力和环境压力的材料构成； </w:t>
      </w:r>
    </w:p>
    <w:p w14:paraId="48734A6C">
      <w:pPr>
        <w:ind w:firstLine="630" w:firstLineChars="300"/>
        <w:jc w:val="left"/>
        <w:rPr>
          <w:rFonts w:ascii="宋体" w:hAnsi="宋体" w:eastAsia="宋体" w:cs="宋体"/>
        </w:rPr>
      </w:pPr>
      <w:r>
        <w:rPr>
          <w:rFonts w:hint="eastAsia" w:ascii="宋体" w:hAnsi="宋体" w:eastAsia="宋体" w:cs="宋体"/>
        </w:rPr>
        <w:t>4) 各部件组件间连接结构一致，插拔方便且具备锁紧、防脱、防误插功能，接口结构宜采用可拓展设计，满足后期功能扩展要求。</w:t>
      </w:r>
    </w:p>
    <w:p w14:paraId="636BA7E3">
      <w:pPr>
        <w:ind w:firstLine="630" w:firstLineChars="300"/>
        <w:jc w:val="left"/>
        <w:rPr>
          <w:rFonts w:ascii="宋体" w:hAnsi="宋体" w:eastAsia="宋体" w:cs="宋体"/>
        </w:rPr>
      </w:pPr>
      <w:r>
        <w:rPr>
          <w:rFonts w:hint="eastAsia" w:ascii="宋体" w:hAnsi="宋体" w:eastAsia="宋体" w:cs="宋体"/>
        </w:rPr>
        <w:t>5) 成套自动化所有设备（包括配电自动化（DTU）、继电器、控制开关、控制回路的开关及其他独立设备）都应有标签框，以便清楚地识别。外壳可移动的设备，在设备的本体上也应有同样的识别标记。</w:t>
      </w:r>
    </w:p>
    <w:p w14:paraId="1301A276">
      <w:pPr>
        <w:pStyle w:val="42"/>
        <w:adjustRightInd w:val="0"/>
        <w:snapToGrid w:val="0"/>
        <w:spacing w:line="240" w:lineRule="auto"/>
        <w:outlineLvl w:val="3"/>
        <w:rPr>
          <w:rFonts w:ascii="宋体" w:hAnsi="宋体" w:eastAsia="宋体" w:cs="宋体"/>
          <w:kern w:val="2"/>
          <w:sz w:val="21"/>
          <w:szCs w:val="24"/>
        </w:rPr>
      </w:pPr>
      <w:r>
        <w:rPr>
          <w:rFonts w:hint="eastAsia" w:ascii="宋体" w:hAnsi="宋体" w:eastAsia="宋体" w:cs="宋体"/>
          <w:kern w:val="2"/>
          <w:sz w:val="21"/>
          <w:szCs w:val="24"/>
        </w:rPr>
        <w:t>b）户外开关箱</w:t>
      </w:r>
    </w:p>
    <w:p w14:paraId="2A582ECE">
      <w:pPr>
        <w:ind w:firstLine="630" w:firstLineChars="300"/>
        <w:jc w:val="left"/>
        <w:rPr>
          <w:rFonts w:ascii="宋体" w:hAnsi="宋体" w:eastAsia="宋体" w:cs="宋体"/>
        </w:rPr>
      </w:pPr>
      <w:r>
        <w:rPr>
          <w:rFonts w:hint="eastAsia" w:ascii="宋体" w:hAnsi="宋体" w:eastAsia="宋体" w:cs="宋体"/>
        </w:rPr>
        <w:t>1) 户外开关箱的设计应使得正常运行、检查和维护操作、各回路是否带电状态的确定，包括通常的相序检查、连接电缆接地、电缆故障的定位、连接电缆或其他器件电压试验以及消除危险的静电电荷均能安全地进行。</w:t>
      </w:r>
    </w:p>
    <w:p w14:paraId="4E5FF119">
      <w:pPr>
        <w:ind w:firstLine="630" w:firstLineChars="300"/>
        <w:jc w:val="left"/>
        <w:rPr>
          <w:rFonts w:ascii="宋体" w:hAnsi="宋体" w:eastAsia="宋体" w:cs="宋体"/>
        </w:rPr>
      </w:pPr>
      <w:r>
        <w:rPr>
          <w:rFonts w:hint="eastAsia" w:ascii="宋体" w:hAnsi="宋体" w:eastAsia="宋体" w:cs="宋体"/>
        </w:rPr>
        <w:t>2) 外壳材料为标称厚度2mm的304不锈钢或标称厚度4mm 的SMC（增强纤维不饱和聚酯型材料）制造而成，板材厚度尺寸精度符合GB/T 708中PT.B的要求；外壳应有足够的机械强度，在起吊、运输和安装时不应变形或损伤。</w:t>
      </w:r>
    </w:p>
    <w:p w14:paraId="7A433CE0">
      <w:pPr>
        <w:ind w:firstLine="630" w:firstLineChars="300"/>
        <w:jc w:val="left"/>
        <w:rPr>
          <w:rFonts w:ascii="宋体" w:hAnsi="宋体" w:eastAsia="宋体" w:cs="宋体"/>
        </w:rPr>
      </w:pPr>
      <w:r>
        <w:rPr>
          <w:rFonts w:hint="eastAsia" w:ascii="宋体" w:hAnsi="宋体" w:eastAsia="宋体" w:cs="宋体"/>
        </w:rPr>
        <w:t>3) 箱体外壳应有喷涂防护层，防护层为静电喷涂而成，涂层部分不应小于150μm并应均匀一致。表面覆盖涂层应有牢固的附着力。箱壳至少15年不褪色、不生锈，箱壳表面应有明显的反光警示标志。</w:t>
      </w:r>
    </w:p>
    <w:p w14:paraId="174CC4B4">
      <w:pPr>
        <w:ind w:firstLine="630" w:firstLineChars="300"/>
        <w:jc w:val="left"/>
        <w:rPr>
          <w:rFonts w:ascii="宋体" w:hAnsi="宋体" w:eastAsia="宋体" w:cs="宋体"/>
        </w:rPr>
      </w:pPr>
      <w:r>
        <w:rPr>
          <w:rFonts w:hint="eastAsia" w:ascii="宋体" w:hAnsi="宋体" w:eastAsia="宋体" w:cs="宋体"/>
        </w:rPr>
        <w:t>4) 户外开关箱的接地系统应符合GB/T 50065《交流电气装置的接地设计规范》的要求，外壳、开关设备外壳等可能触及的金属部件均应可靠接地，开关柜整个长度延伸方向应有专用接地汇流母线，配置于电缆室底部。母线采用铜质，接地导体和接地连接应能承受接地回路的额定短时和峰值耐受电流。规定或需要触及的各回路中所有部件均应能事先接地。户外开关箱的箱体应设专用接地导体，该接地导体上应设有与接地网相连的固定连接端子，其数量不少于两个，并应有明显的接地标志。</w:t>
      </w:r>
    </w:p>
    <w:p w14:paraId="6FB72A54">
      <w:pPr>
        <w:pStyle w:val="66"/>
        <w:outlineLvl w:val="2"/>
        <w:rPr>
          <w:rFonts w:hint="default"/>
        </w:rPr>
      </w:pPr>
      <w:bookmarkStart w:id="58" w:name="_Toc119492247"/>
      <w:bookmarkStart w:id="59" w:name="_Toc119491203"/>
      <w:bookmarkStart w:id="60" w:name="_Toc119489006"/>
      <w:r>
        <w:t>6.2.2防护等级</w:t>
      </w:r>
      <w:bookmarkEnd w:id="58"/>
      <w:bookmarkEnd w:id="59"/>
      <w:bookmarkEnd w:id="60"/>
    </w:p>
    <w:p w14:paraId="6B0573E2">
      <w:pPr>
        <w:ind w:firstLine="420" w:firstLineChars="200"/>
        <w:jc w:val="left"/>
        <w:rPr>
          <w:rFonts w:ascii="宋体" w:hAnsi="宋体" w:eastAsia="宋体" w:cs="宋体"/>
        </w:rPr>
      </w:pPr>
      <w:r>
        <w:rPr>
          <w:rFonts w:hint="eastAsia" w:ascii="宋体" w:hAnsi="宋体" w:eastAsia="宋体" w:cs="宋体"/>
        </w:rPr>
        <w:t>除满足GB/T 4208、DL/T 593的相关要求外，户外开关箱外箱体防护等级不低于IP43，开关柜体外壳防护等级不低于IP4X，开关柜内隔室间防护等级不低于IP2X，开关柜气箱防护等级不低于IP67，开关柜内航空接插件防护等级不低于IP64，配电自动化终端防护等级不低于IP54，辅助与控制设备的外壳防护等级不低于IP30。</w:t>
      </w:r>
    </w:p>
    <w:p w14:paraId="754D9798">
      <w:pPr>
        <w:pStyle w:val="66"/>
        <w:outlineLvl w:val="2"/>
        <w:rPr>
          <w:rFonts w:hint="default"/>
        </w:rPr>
      </w:pPr>
      <w:bookmarkStart w:id="61" w:name="_Toc119489007"/>
      <w:bookmarkStart w:id="62" w:name="_Toc119491204"/>
      <w:bookmarkStart w:id="63" w:name="_Toc119492248"/>
      <w:r>
        <w:t>6.2.3辅助与控制部分</w:t>
      </w:r>
      <w:bookmarkEnd w:id="61"/>
      <w:bookmarkEnd w:id="62"/>
      <w:bookmarkEnd w:id="63"/>
    </w:p>
    <w:p w14:paraId="5E29BFAD">
      <w:pPr>
        <w:widowControl/>
        <w:ind w:firstLine="420" w:firstLineChars="200"/>
        <w:jc w:val="left"/>
        <w:rPr>
          <w:rFonts w:ascii="宋体" w:hAnsi="宋体" w:eastAsia="宋体" w:cs="宋体"/>
        </w:rPr>
      </w:pPr>
      <w:r>
        <w:rPr>
          <w:rFonts w:hint="eastAsia" w:hAnsi="宋体"/>
          <w:color w:val="auto"/>
        </w:rPr>
        <w:t>SF</w:t>
      </w:r>
      <w:r>
        <w:rPr>
          <w:rFonts w:hint="eastAsia" w:hAnsi="宋体"/>
          <w:color w:val="auto"/>
          <w:vertAlign w:val="subscript"/>
        </w:rPr>
        <w:t>6</w:t>
      </w:r>
      <w:r>
        <w:rPr>
          <w:rFonts w:hint="eastAsia" w:hAnsi="宋体"/>
          <w:color w:val="auto"/>
        </w:rPr>
        <w:t>气体全绝缘环网开关柜</w:t>
      </w:r>
      <w:r>
        <w:rPr>
          <w:rFonts w:hint="eastAsia" w:ascii="宋体" w:hAnsi="宋体" w:eastAsia="宋体" w:cs="宋体"/>
          <w:color w:val="auto"/>
        </w:rPr>
        <w:t>设备的</w:t>
      </w:r>
      <w:r>
        <w:rPr>
          <w:rFonts w:hint="eastAsia" w:ascii="宋体" w:hAnsi="宋体" w:eastAsia="宋体" w:cs="宋体"/>
        </w:rPr>
        <w:t>辅助与控制部分应满足GB/T 11022、GB/T 16435.1、DL/T 593的相关要求外，还应满足如下要求：</w:t>
      </w:r>
    </w:p>
    <w:p w14:paraId="752234E9">
      <w:pPr>
        <w:widowControl/>
        <w:numPr>
          <w:ilvl w:val="255"/>
          <w:numId w:val="0"/>
        </w:numPr>
        <w:ind w:firstLine="420" w:firstLineChars="200"/>
        <w:jc w:val="left"/>
        <w:rPr>
          <w:rFonts w:ascii="宋体" w:hAnsi="宋体" w:eastAsia="宋体" w:cs="宋体"/>
        </w:rPr>
      </w:pPr>
      <w:r>
        <w:rPr>
          <w:rFonts w:hint="eastAsia" w:ascii="宋体" w:hAnsi="宋体" w:eastAsia="宋体" w:cs="宋体"/>
        </w:rPr>
        <w:t>a) 控制回路宜采用模块化设计、各模块之间宜采用密封连接器连接，连接器防护等级不得低于GB/T 4208的规定的IP64等级；</w:t>
      </w:r>
    </w:p>
    <w:p w14:paraId="340282A5">
      <w:pPr>
        <w:widowControl/>
        <w:numPr>
          <w:ilvl w:val="255"/>
          <w:numId w:val="0"/>
        </w:numPr>
        <w:ind w:firstLine="420" w:firstLineChars="200"/>
        <w:jc w:val="left"/>
        <w:rPr>
          <w:rFonts w:ascii="宋体" w:hAnsi="宋体" w:eastAsia="宋体" w:cs="宋体"/>
        </w:rPr>
      </w:pPr>
      <w:r>
        <w:rPr>
          <w:rFonts w:hint="eastAsia" w:ascii="宋体" w:hAnsi="宋体" w:eastAsia="宋体" w:cs="宋体"/>
        </w:rPr>
        <w:t>b) 电磁式电流互感器相关连接器具备机械式CT端子自短路功能，适应电磁式电流互感器防开路需求。</w:t>
      </w:r>
    </w:p>
    <w:p w14:paraId="662F20C9">
      <w:pPr>
        <w:widowControl/>
        <w:numPr>
          <w:ilvl w:val="255"/>
          <w:numId w:val="0"/>
        </w:numPr>
        <w:ind w:firstLine="420" w:firstLineChars="200"/>
        <w:jc w:val="left"/>
        <w:rPr>
          <w:rFonts w:ascii="宋体" w:hAnsi="宋体" w:eastAsia="宋体" w:cs="宋体"/>
        </w:rPr>
      </w:pPr>
      <w:r>
        <w:rPr>
          <w:rFonts w:hint="eastAsia" w:ascii="宋体" w:hAnsi="宋体" w:eastAsia="宋体" w:cs="宋体"/>
        </w:rPr>
        <w:t>c) 控制设备具有故障动作出口和控制出口，宜具备就地维护时就地切除故障能力，具备硬压板；</w:t>
      </w:r>
    </w:p>
    <w:p w14:paraId="638A6B1E">
      <w:pPr>
        <w:widowControl/>
        <w:numPr>
          <w:ilvl w:val="255"/>
          <w:numId w:val="0"/>
        </w:numPr>
        <w:ind w:firstLine="420" w:firstLineChars="200"/>
        <w:jc w:val="left"/>
        <w:rPr>
          <w:rFonts w:ascii="宋体" w:hAnsi="宋体" w:eastAsia="宋体" w:cs="宋体"/>
        </w:rPr>
      </w:pPr>
      <w:r>
        <w:rPr>
          <w:rFonts w:hint="eastAsia" w:ascii="宋体" w:hAnsi="宋体" w:eastAsia="宋体" w:cs="宋体"/>
        </w:rPr>
        <w:t>d) 具备控制回路告警判断功能，在开关分/合闸操作回路异常断开、低气压报警出现时经延时确认后告警；</w:t>
      </w:r>
    </w:p>
    <w:p w14:paraId="05EB0C48">
      <w:pPr>
        <w:widowControl/>
        <w:numPr>
          <w:ilvl w:val="255"/>
          <w:numId w:val="0"/>
        </w:numPr>
        <w:ind w:firstLine="420" w:firstLineChars="200"/>
        <w:jc w:val="left"/>
        <w:rPr>
          <w:rFonts w:ascii="宋体" w:hAnsi="宋体" w:eastAsia="宋体" w:cs="宋体"/>
        </w:rPr>
      </w:pPr>
      <w:r>
        <w:rPr>
          <w:rFonts w:hint="eastAsia" w:ascii="宋体" w:hAnsi="宋体" w:eastAsia="宋体" w:cs="宋体"/>
        </w:rPr>
        <w:t>e) 控制设备控制回路接点输出容量（纯阻性负载）宜不得低于DL/T 721的规定；</w:t>
      </w:r>
    </w:p>
    <w:p w14:paraId="4F2F5CB8">
      <w:pPr>
        <w:pStyle w:val="66"/>
        <w:outlineLvl w:val="2"/>
        <w:rPr>
          <w:rFonts w:hint="default" w:cs="黑体"/>
          <w:szCs w:val="21"/>
          <w:highlight w:val="magenta"/>
        </w:rPr>
      </w:pPr>
      <w:bookmarkStart w:id="64" w:name="_Toc119489008"/>
      <w:bookmarkStart w:id="65" w:name="_Toc119492249"/>
      <w:bookmarkStart w:id="66" w:name="_Toc119491205"/>
      <w:r>
        <w:t>6.2.4其他要求</w:t>
      </w:r>
      <w:bookmarkEnd w:id="64"/>
      <w:bookmarkEnd w:id="65"/>
      <w:bookmarkEnd w:id="66"/>
    </w:p>
    <w:p w14:paraId="375BEBFD">
      <w:pPr>
        <w:widowControl/>
        <w:ind w:firstLine="420" w:firstLineChars="200"/>
        <w:jc w:val="left"/>
        <w:rPr>
          <w:rFonts w:ascii="黑体" w:hAnsi="黑体" w:eastAsia="黑体" w:cs="黑体"/>
          <w:szCs w:val="21"/>
        </w:rPr>
      </w:pPr>
      <w:r>
        <w:rPr>
          <w:rFonts w:hint="eastAsia" w:ascii="宋体" w:hAnsi="宋体" w:eastAsia="宋体" w:cs="宋体"/>
          <w:color w:val="000000"/>
          <w:kern w:val="0"/>
          <w:szCs w:val="21"/>
        </w:rPr>
        <w:t>对开关设备和控制设备中气体的要求、开关设备和控制设备的接地、动力操作、储能操作、不依赖人力或动力的操作、脱扣器的操作、低压力和高压力闭锁以及监测装置、铭牌、联锁装置、位置指示、爬电距离、气体和真空的密封、液体的密封、火灾危险、电磁兼容性、X 射线发射、腐蚀等应满足DL/T 593的相关要求。</w:t>
      </w:r>
    </w:p>
    <w:p w14:paraId="1567C62A">
      <w:pPr>
        <w:pStyle w:val="5"/>
        <w:spacing w:before="0" w:after="0" w:line="360" w:lineRule="auto"/>
        <w:ind w:left="199" w:hanging="199" w:hangingChars="95"/>
        <w:rPr>
          <w:rFonts w:hint="eastAsia" w:ascii="黑体" w:hAnsi="黑体" w:cs="黑体"/>
          <w:b w:val="0"/>
          <w:bCs/>
          <w:sz w:val="21"/>
          <w:szCs w:val="21"/>
        </w:rPr>
      </w:pPr>
      <w:bookmarkStart w:id="67" w:name="_Toc119492250"/>
      <w:bookmarkStart w:id="68" w:name="_Toc119491206"/>
      <w:r>
        <w:rPr>
          <w:rFonts w:hint="eastAsia" w:ascii="黑体" w:hAnsi="黑体" w:cs="黑体"/>
          <w:b w:val="0"/>
          <w:bCs/>
          <w:sz w:val="21"/>
          <w:szCs w:val="21"/>
        </w:rPr>
        <w:t>6.3配置要求</w:t>
      </w:r>
      <w:bookmarkEnd w:id="67"/>
      <w:bookmarkEnd w:id="68"/>
    </w:p>
    <w:p w14:paraId="66D7C3D3">
      <w:pPr>
        <w:pStyle w:val="66"/>
        <w:outlineLvl w:val="2"/>
        <w:rPr>
          <w:rFonts w:hint="default"/>
        </w:rPr>
      </w:pPr>
      <w:bookmarkStart w:id="69" w:name="_Toc119489009"/>
      <w:bookmarkStart w:id="70" w:name="_Toc119492251"/>
      <w:bookmarkStart w:id="71" w:name="_Toc119491207"/>
      <w:r>
        <w:t>6.3.1开关柜本体</w:t>
      </w:r>
      <w:bookmarkEnd w:id="69"/>
      <w:bookmarkEnd w:id="70"/>
      <w:bookmarkEnd w:id="71"/>
    </w:p>
    <w:p w14:paraId="346B1031">
      <w:pPr>
        <w:widowControl/>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a) 开关柜</w:t>
      </w:r>
      <w:r>
        <w:rPr>
          <w:rFonts w:ascii="宋体" w:hAnsi="宋体" w:eastAsia="宋体" w:cs="宋体"/>
          <w:color w:val="auto"/>
          <w:kern w:val="0"/>
          <w:szCs w:val="21"/>
        </w:rPr>
        <w:t>气箱宜采用304不锈钢材料，</w:t>
      </w:r>
      <w:r>
        <w:rPr>
          <w:rFonts w:hint="eastAsia" w:ascii="宋体" w:hAnsi="宋体" w:eastAsia="宋体" w:cs="宋体"/>
          <w:color w:val="auto"/>
          <w:kern w:val="0"/>
          <w:szCs w:val="21"/>
        </w:rPr>
        <w:t>标称</w:t>
      </w:r>
      <w:r>
        <w:rPr>
          <w:rFonts w:ascii="宋体" w:hAnsi="宋体" w:eastAsia="宋体" w:cs="宋体"/>
          <w:color w:val="auto"/>
          <w:kern w:val="0"/>
          <w:szCs w:val="21"/>
        </w:rPr>
        <w:t>厚度</w:t>
      </w:r>
      <w:r>
        <w:rPr>
          <w:rFonts w:hint="eastAsia" w:ascii="宋体" w:hAnsi="宋体" w:eastAsia="宋体" w:cs="宋体"/>
          <w:color w:val="auto"/>
          <w:kern w:val="0"/>
          <w:szCs w:val="21"/>
        </w:rPr>
        <w:t>不少于</w:t>
      </w:r>
      <w:r>
        <w:rPr>
          <w:rFonts w:ascii="宋体" w:hAnsi="宋体" w:eastAsia="宋体" w:cs="宋体"/>
          <w:color w:val="auto"/>
          <w:kern w:val="0"/>
          <w:szCs w:val="21"/>
        </w:rPr>
        <w:t>2.5mm，柜体及底板采用覆铝锌板或镀锌钢板材料，</w:t>
      </w:r>
      <w:r>
        <w:rPr>
          <w:rFonts w:hint="eastAsia" w:ascii="宋体" w:hAnsi="宋体" w:eastAsia="宋体" w:cs="宋体"/>
          <w:color w:val="auto"/>
          <w:kern w:val="0"/>
          <w:szCs w:val="21"/>
        </w:rPr>
        <w:t>标</w:t>
      </w:r>
      <w:r>
        <w:rPr>
          <w:rFonts w:hint="eastAsia" w:ascii="宋体" w:hAnsi="宋体" w:eastAsia="宋体" w:cs="宋体"/>
          <w:color w:val="auto"/>
          <w:kern w:val="0"/>
          <w:szCs w:val="21"/>
          <w:lang w:val="en-US" w:eastAsia="zh-CN"/>
        </w:rPr>
        <w:t>称</w:t>
      </w:r>
      <w:r>
        <w:rPr>
          <w:rFonts w:ascii="宋体" w:hAnsi="宋体" w:eastAsia="宋体" w:cs="宋体"/>
          <w:color w:val="auto"/>
          <w:kern w:val="0"/>
          <w:szCs w:val="21"/>
        </w:rPr>
        <w:t>厚度</w:t>
      </w:r>
      <w:r>
        <w:rPr>
          <w:rFonts w:hint="eastAsia" w:ascii="宋体" w:hAnsi="宋体" w:eastAsia="宋体" w:cs="宋体"/>
          <w:color w:val="auto"/>
          <w:kern w:val="0"/>
          <w:szCs w:val="21"/>
        </w:rPr>
        <w:t>不少于</w:t>
      </w:r>
      <w:r>
        <w:rPr>
          <w:rFonts w:ascii="宋体" w:hAnsi="宋体" w:eastAsia="宋体" w:cs="宋体"/>
          <w:color w:val="auto"/>
          <w:kern w:val="0"/>
          <w:szCs w:val="21"/>
        </w:rPr>
        <w:t>2mm；</w:t>
      </w:r>
      <w:r>
        <w:rPr>
          <w:rFonts w:hint="eastAsia" w:ascii="宋体" w:hAnsi="宋体" w:eastAsia="宋体" w:cs="宋体"/>
          <w:color w:val="auto"/>
        </w:rPr>
        <w:t>板材厚度尺寸精度符合GB/T 708中PT.B的要求。</w:t>
      </w:r>
      <w:r>
        <w:rPr>
          <w:rFonts w:hint="eastAsia" w:ascii="宋体" w:hAnsi="宋体" w:eastAsia="宋体" w:cs="宋体"/>
          <w:color w:val="auto"/>
          <w:kern w:val="0"/>
          <w:szCs w:val="21"/>
        </w:rPr>
        <w:t xml:space="preserve"> </w:t>
      </w:r>
    </w:p>
    <w:p w14:paraId="4184FD3C">
      <w:pPr>
        <w:widowControl/>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b) 开关</w:t>
      </w:r>
      <w:r>
        <w:rPr>
          <w:rFonts w:ascii="宋体" w:hAnsi="宋体" w:eastAsia="宋体" w:cs="宋体"/>
          <w:color w:val="auto"/>
          <w:kern w:val="0"/>
          <w:szCs w:val="21"/>
        </w:rPr>
        <w:t xml:space="preserve">柜应配置带电显示器，应能满足验电、核相的要求。 </w:t>
      </w:r>
    </w:p>
    <w:p w14:paraId="0EC74F99">
      <w:pPr>
        <w:widowControl/>
        <w:ind w:firstLine="420" w:firstLineChars="200"/>
        <w:jc w:val="left"/>
        <w:rPr>
          <w:rFonts w:ascii="宋体" w:hAnsi="宋体" w:eastAsia="宋体" w:cs="宋体"/>
          <w:color w:val="auto"/>
          <w:kern w:val="0"/>
          <w:szCs w:val="21"/>
        </w:rPr>
      </w:pPr>
      <w:r>
        <w:rPr>
          <w:rFonts w:hint="eastAsia" w:ascii="宋体" w:hAnsi="宋体" w:eastAsia="宋体" w:cs="宋体"/>
          <w:color w:val="auto"/>
          <w:kern w:val="0"/>
          <w:szCs w:val="21"/>
        </w:rPr>
        <w:t>c) 开关柜的操作机构采用弹簧或三相直动式永磁操作机构。</w:t>
      </w:r>
    </w:p>
    <w:p w14:paraId="1A6608A9">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auto"/>
          <w:kern w:val="0"/>
          <w:szCs w:val="21"/>
        </w:rPr>
        <w:t>d) 开关柜须安装相电流互感器、零序电流互感器，相电</w:t>
      </w:r>
      <w:r>
        <w:rPr>
          <w:rFonts w:hint="eastAsia" w:ascii="宋体" w:hAnsi="宋体" w:eastAsia="宋体" w:cs="宋体"/>
          <w:color w:val="000000"/>
          <w:kern w:val="0"/>
          <w:szCs w:val="21"/>
        </w:rPr>
        <w:t>流互感器宜采用套管式安装，零序电流互感器宜采用穿心式或开口式安装。</w:t>
      </w:r>
    </w:p>
    <w:p w14:paraId="7413C505">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e) 开关柜配置泄压通道并应设置明显的警示标志。</w:t>
      </w:r>
    </w:p>
    <w:p w14:paraId="2C809B2C">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f） 开关柜</w:t>
      </w:r>
      <w:r>
        <w:rPr>
          <w:rFonts w:ascii="宋体" w:hAnsi="宋体" w:eastAsia="宋体" w:cs="宋体"/>
          <w:color w:val="000000"/>
          <w:kern w:val="0"/>
          <w:szCs w:val="21"/>
        </w:rPr>
        <w:t>单元前门应标有清晰明显的主接线示意图，表面应注明操作程序和注意事项。</w:t>
      </w:r>
    </w:p>
    <w:p w14:paraId="1CEE4539">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g) 开关柜相序按面对环网柜正面从左至右排列为</w:t>
      </w:r>
      <w:r>
        <w:rPr>
          <w:rFonts w:ascii="宋体" w:hAnsi="宋体" w:eastAsia="宋体" w:cs="宋体"/>
          <w:color w:val="000000"/>
          <w:kern w:val="0"/>
          <w:szCs w:val="21"/>
        </w:rPr>
        <w:t>A</w:t>
      </w:r>
      <w:r>
        <w:rPr>
          <w:rFonts w:hint="eastAsia" w:ascii="宋体" w:hAnsi="宋体" w:eastAsia="宋体" w:cs="宋体"/>
          <w:color w:val="000000"/>
          <w:kern w:val="0"/>
          <w:szCs w:val="21"/>
        </w:rPr>
        <w:t>、</w:t>
      </w:r>
      <w:r>
        <w:rPr>
          <w:rFonts w:ascii="宋体" w:hAnsi="宋体" w:eastAsia="宋体" w:cs="宋体"/>
          <w:color w:val="000000"/>
          <w:kern w:val="0"/>
          <w:szCs w:val="21"/>
        </w:rPr>
        <w:t>B</w:t>
      </w:r>
      <w:r>
        <w:rPr>
          <w:rFonts w:hint="eastAsia" w:ascii="宋体" w:hAnsi="宋体" w:eastAsia="宋体" w:cs="宋体"/>
          <w:color w:val="000000"/>
          <w:kern w:val="0"/>
          <w:szCs w:val="21"/>
        </w:rPr>
        <w:t>、</w:t>
      </w:r>
      <w:r>
        <w:rPr>
          <w:rFonts w:ascii="宋体" w:hAnsi="宋体" w:eastAsia="宋体" w:cs="宋体"/>
          <w:color w:val="000000"/>
          <w:kern w:val="0"/>
          <w:szCs w:val="21"/>
        </w:rPr>
        <w:t>C</w:t>
      </w:r>
      <w:r>
        <w:rPr>
          <w:rFonts w:hint="eastAsia" w:ascii="宋体" w:hAnsi="宋体" w:eastAsia="宋体" w:cs="宋体"/>
          <w:color w:val="000000"/>
          <w:kern w:val="0"/>
          <w:szCs w:val="21"/>
        </w:rPr>
        <w:t>，从上到下排列为</w:t>
      </w:r>
      <w:r>
        <w:rPr>
          <w:rFonts w:ascii="宋体" w:hAnsi="宋体" w:eastAsia="宋体" w:cs="宋体"/>
          <w:color w:val="000000"/>
          <w:kern w:val="0"/>
          <w:szCs w:val="21"/>
        </w:rPr>
        <w:t>A</w:t>
      </w:r>
      <w:r>
        <w:rPr>
          <w:rFonts w:hint="eastAsia" w:ascii="宋体" w:hAnsi="宋体" w:eastAsia="宋体" w:cs="宋体"/>
          <w:color w:val="000000"/>
          <w:kern w:val="0"/>
          <w:szCs w:val="21"/>
        </w:rPr>
        <w:t>、</w:t>
      </w:r>
      <w:r>
        <w:rPr>
          <w:rFonts w:ascii="宋体" w:hAnsi="宋体" w:eastAsia="宋体" w:cs="宋体"/>
          <w:color w:val="000000"/>
          <w:kern w:val="0"/>
          <w:szCs w:val="21"/>
        </w:rPr>
        <w:t>B</w:t>
      </w:r>
      <w:r>
        <w:rPr>
          <w:rFonts w:hint="eastAsia" w:ascii="宋体" w:hAnsi="宋体" w:eastAsia="宋体" w:cs="宋体"/>
          <w:color w:val="000000"/>
          <w:kern w:val="0"/>
          <w:szCs w:val="21"/>
        </w:rPr>
        <w:t>、</w:t>
      </w:r>
      <w:r>
        <w:rPr>
          <w:rFonts w:ascii="宋体" w:hAnsi="宋体" w:eastAsia="宋体" w:cs="宋体"/>
          <w:color w:val="000000"/>
          <w:kern w:val="0"/>
          <w:szCs w:val="21"/>
        </w:rPr>
        <w:t>C</w:t>
      </w:r>
      <w:r>
        <w:rPr>
          <w:rFonts w:hint="eastAsia" w:ascii="宋体" w:hAnsi="宋体" w:eastAsia="宋体" w:cs="宋体"/>
          <w:color w:val="000000"/>
          <w:kern w:val="0"/>
          <w:szCs w:val="21"/>
        </w:rPr>
        <w:t>，从后到前排列为</w:t>
      </w:r>
      <w:r>
        <w:rPr>
          <w:rFonts w:ascii="宋体" w:hAnsi="宋体" w:eastAsia="宋体" w:cs="宋体"/>
          <w:color w:val="000000"/>
          <w:kern w:val="0"/>
          <w:szCs w:val="21"/>
        </w:rPr>
        <w:t>A</w:t>
      </w:r>
      <w:r>
        <w:rPr>
          <w:rFonts w:hint="eastAsia" w:ascii="宋体" w:hAnsi="宋体" w:eastAsia="宋体" w:cs="宋体"/>
          <w:color w:val="000000"/>
          <w:kern w:val="0"/>
          <w:szCs w:val="21"/>
        </w:rPr>
        <w:t>、</w:t>
      </w:r>
      <w:r>
        <w:rPr>
          <w:rFonts w:ascii="宋体" w:hAnsi="宋体" w:eastAsia="宋体" w:cs="宋体"/>
          <w:color w:val="000000"/>
          <w:kern w:val="0"/>
          <w:szCs w:val="21"/>
        </w:rPr>
        <w:t>B</w:t>
      </w:r>
      <w:r>
        <w:rPr>
          <w:rFonts w:hint="eastAsia" w:ascii="宋体" w:hAnsi="宋体" w:eastAsia="宋体" w:cs="宋体"/>
          <w:color w:val="000000"/>
          <w:kern w:val="0"/>
          <w:szCs w:val="21"/>
        </w:rPr>
        <w:t>、</w:t>
      </w:r>
      <w:r>
        <w:rPr>
          <w:rFonts w:ascii="宋体" w:hAnsi="宋体" w:eastAsia="宋体" w:cs="宋体"/>
          <w:color w:val="000000"/>
          <w:kern w:val="0"/>
          <w:szCs w:val="21"/>
        </w:rPr>
        <w:t>C</w:t>
      </w:r>
      <w:r>
        <w:rPr>
          <w:rFonts w:hint="eastAsia" w:ascii="宋体" w:hAnsi="宋体" w:eastAsia="宋体" w:cs="宋体"/>
          <w:color w:val="000000"/>
          <w:kern w:val="0"/>
          <w:szCs w:val="21"/>
        </w:rPr>
        <w:t>。</w:t>
      </w:r>
    </w:p>
    <w:p w14:paraId="670F5498">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h) 开关柜电缆室的空间和安装位置应便于安装、试验和维修。</w:t>
      </w:r>
    </w:p>
    <w:p w14:paraId="7C72E39D">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i) 开关柜电缆室、控制仪表室和自动化单元室宜设置照明设备。</w:t>
      </w:r>
    </w:p>
    <w:p w14:paraId="235D4849">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j) 开关</w:t>
      </w:r>
      <w:r>
        <w:rPr>
          <w:rFonts w:ascii="宋体" w:hAnsi="宋体" w:eastAsia="宋体" w:cs="宋体"/>
          <w:color w:val="000000"/>
          <w:kern w:val="0"/>
          <w:szCs w:val="21"/>
        </w:rPr>
        <w:t>柜</w:t>
      </w:r>
      <w:r>
        <w:rPr>
          <w:rFonts w:hint="eastAsia" w:ascii="宋体" w:hAnsi="宋体" w:eastAsia="宋体" w:cs="宋体"/>
          <w:color w:val="000000"/>
          <w:kern w:val="0"/>
          <w:szCs w:val="21"/>
        </w:rPr>
        <w:t>柜内进出线处应设置电缆固定支架和抱箍。</w:t>
      </w:r>
    </w:p>
    <w:p w14:paraId="4B79F8E8">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k) 开关柜配置</w:t>
      </w:r>
      <w:r>
        <w:rPr>
          <w:rFonts w:ascii="宋体" w:hAnsi="宋体" w:eastAsia="宋体" w:cs="宋体"/>
          <w:color w:val="000000"/>
          <w:kern w:val="0"/>
          <w:szCs w:val="21"/>
        </w:rPr>
        <w:t>断路器时，隔离开关和接地刀闸采用三工位开关，须位于断路器的下方，确保断路器柜内的电缆可经接地刀闸直接接地。</w:t>
      </w:r>
    </w:p>
    <w:p w14:paraId="18EF41F1">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l) 开关柜所有</w:t>
      </w:r>
      <w:r>
        <w:rPr>
          <w:rFonts w:ascii="宋体" w:hAnsi="宋体" w:eastAsia="宋体" w:cs="宋体"/>
          <w:color w:val="000000"/>
          <w:kern w:val="0"/>
          <w:szCs w:val="21"/>
        </w:rPr>
        <w:t>铭牌应采用金属材质，采用螺丝或铆钉固定，内容应满足DL/T 593 条款5.10的相关规定。</w:t>
      </w:r>
    </w:p>
    <w:p w14:paraId="60D641CA">
      <w:pPr>
        <w:pStyle w:val="66"/>
        <w:outlineLvl w:val="2"/>
        <w:rPr>
          <w:rFonts w:hint="default"/>
        </w:rPr>
      </w:pPr>
      <w:bookmarkStart w:id="72" w:name="_Toc119491208"/>
      <w:bookmarkStart w:id="73" w:name="_Toc119492252"/>
      <w:bookmarkStart w:id="74" w:name="_Toc119489010"/>
      <w:r>
        <w:t>6.3.2配电自动化终端</w:t>
      </w:r>
      <w:bookmarkEnd w:id="72"/>
      <w:bookmarkEnd w:id="73"/>
      <w:bookmarkEnd w:id="74"/>
    </w:p>
    <w:p w14:paraId="2BD5D535">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 xml:space="preserve">a) </w:t>
      </w:r>
      <w:r>
        <w:rPr>
          <w:rFonts w:ascii="宋体" w:hAnsi="宋体" w:eastAsia="宋体" w:cs="宋体"/>
          <w:color w:val="000000"/>
          <w:kern w:val="0"/>
          <w:szCs w:val="21"/>
        </w:rPr>
        <w:t>配电自动化</w:t>
      </w:r>
      <w:r>
        <w:rPr>
          <w:rFonts w:hint="eastAsia" w:ascii="宋体" w:hAnsi="宋体" w:eastAsia="宋体" w:cs="宋体"/>
          <w:color w:val="000000"/>
          <w:kern w:val="0"/>
          <w:szCs w:val="21"/>
        </w:rPr>
        <w:t>终端</w:t>
      </w:r>
      <w:r>
        <w:rPr>
          <w:rFonts w:ascii="宋体" w:hAnsi="宋体" w:eastAsia="宋体" w:cs="宋体"/>
          <w:color w:val="000000"/>
          <w:kern w:val="0"/>
          <w:szCs w:val="21"/>
        </w:rPr>
        <w:t>由一个综合测控通信单元和多个独立的保护测控单元（一个保护测控单元对应一个间隔）构成。其中综合测控通信单元安装于进线PT柜</w:t>
      </w:r>
      <w:r>
        <w:rPr>
          <w:rFonts w:hint="eastAsia" w:ascii="宋体" w:hAnsi="宋体" w:eastAsia="宋体" w:cs="宋体"/>
          <w:color w:val="000000"/>
          <w:kern w:val="0"/>
          <w:szCs w:val="21"/>
        </w:rPr>
        <w:t>内或母线PT柜内</w:t>
      </w:r>
      <w:r>
        <w:rPr>
          <w:rFonts w:ascii="宋体" w:hAnsi="宋体" w:eastAsia="宋体" w:cs="宋体"/>
          <w:color w:val="000000"/>
          <w:kern w:val="0"/>
          <w:szCs w:val="21"/>
        </w:rPr>
        <w:t>，保护测控单元安装于其对应间隔的环网柜二次室内，综合测控通信单元与保护测控单元之间通过网线相联。</w:t>
      </w:r>
    </w:p>
    <w:p w14:paraId="7DB504D7">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b) 具备控制逻辑功能（如过流保护型、集中型、就地型、分布式馈线自动化）和公共逻辑功能（如小电流接地、自动解列、同期合闸、不停电传动），控制逻辑和公共逻辑功能应满足</w:t>
      </w:r>
      <w:r>
        <w:fldChar w:fldCharType="begin"/>
      </w:r>
      <w:r>
        <w:instrText xml:space="preserve"> HYPERLINK "http://www.baidu.com/link?url=CnIH9kMsnnlNLXaOWtNpIHSe5jKfOwXyAg7cMiuLxZQ0sxg0FFlQxb_tJswMKmx3kXex59FV4IwoYq-WlCy4NK" \t "https://www.baidu.com/_blank" </w:instrText>
      </w:r>
      <w:r>
        <w:fldChar w:fldCharType="separate"/>
      </w:r>
      <w:r>
        <w:rPr>
          <w:rFonts w:hint="eastAsia" w:ascii="宋体" w:hAnsi="宋体" w:eastAsia="宋体" w:cs="宋体"/>
          <w:color w:val="000000"/>
          <w:kern w:val="0"/>
          <w:szCs w:val="21"/>
        </w:rPr>
        <w:t>DL/T 860对配电自动化扩展的相关应用</w:t>
      </w:r>
      <w:r>
        <w:rPr>
          <w:rFonts w:hint="eastAsia" w:ascii="宋体" w:hAnsi="宋体" w:eastAsia="宋体" w:cs="宋体"/>
          <w:color w:val="000000"/>
          <w:kern w:val="0"/>
          <w:szCs w:val="21"/>
        </w:rPr>
        <w:fldChar w:fldCharType="end"/>
      </w:r>
      <w:r>
        <w:rPr>
          <w:rFonts w:hint="eastAsia" w:ascii="宋体" w:hAnsi="宋体" w:eastAsia="宋体" w:cs="宋体"/>
          <w:color w:val="000000"/>
          <w:kern w:val="0"/>
          <w:szCs w:val="21"/>
        </w:rPr>
        <w:t>；</w:t>
      </w:r>
    </w:p>
    <w:p w14:paraId="1A7CA6FC">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c) 控制逻辑功能有且仅有一种控制逻辑功能投入，公共逻辑功能可与控制逻辑功能同时投入；</w:t>
      </w:r>
    </w:p>
    <w:p w14:paraId="098EEF52">
      <w:pPr>
        <w:widowControl/>
        <w:ind w:firstLine="420" w:firstLineChars="200"/>
        <w:jc w:val="left"/>
        <w:rPr>
          <w:rFonts w:ascii="宋体" w:hAnsi="宋体" w:eastAsia="宋体" w:cs="宋体"/>
          <w:color w:val="000000"/>
          <w:kern w:val="0"/>
          <w:szCs w:val="21"/>
        </w:rPr>
      </w:pPr>
      <w:r>
        <w:rPr>
          <w:rFonts w:hint="eastAsia" w:ascii="宋体" w:hAnsi="宋体" w:eastAsia="宋体" w:cs="宋体"/>
          <w:color w:val="000000"/>
          <w:kern w:val="0"/>
          <w:szCs w:val="21"/>
        </w:rPr>
        <w:t>d) 具有自动化硬压板实现配电自动化投退，可软压板投切各种配电自动化功能；</w:t>
      </w:r>
      <w:bookmarkStart w:id="75" w:name="_Toc119492253"/>
      <w:bookmarkStart w:id="76" w:name="_Toc119491209"/>
    </w:p>
    <w:p w14:paraId="17B7332B">
      <w:pPr>
        <w:pStyle w:val="5"/>
        <w:spacing w:before="0" w:after="0" w:line="360" w:lineRule="auto"/>
        <w:ind w:left="199" w:hanging="199" w:hangingChars="95"/>
        <w:rPr>
          <w:rFonts w:hint="eastAsia" w:ascii="黑体" w:hAnsi="黑体" w:cs="黑体"/>
          <w:b w:val="0"/>
          <w:bCs/>
          <w:sz w:val="21"/>
          <w:szCs w:val="21"/>
        </w:rPr>
      </w:pPr>
      <w:r>
        <w:rPr>
          <w:rFonts w:hint="eastAsia" w:ascii="黑体" w:hAnsi="黑体" w:cs="黑体"/>
          <w:b w:val="0"/>
          <w:bCs/>
          <w:sz w:val="21"/>
          <w:szCs w:val="21"/>
        </w:rPr>
        <w:t>6.4功能与性能要求</w:t>
      </w:r>
      <w:bookmarkEnd w:id="75"/>
      <w:bookmarkEnd w:id="76"/>
      <w:bookmarkStart w:id="77" w:name="_Toc119491210"/>
      <w:bookmarkStart w:id="78" w:name="_Toc119489011"/>
      <w:bookmarkStart w:id="79" w:name="_Toc119492254"/>
    </w:p>
    <w:p w14:paraId="59947D67">
      <w:pPr>
        <w:pStyle w:val="66"/>
        <w:outlineLvl w:val="2"/>
      </w:pPr>
      <w:r>
        <w:rPr>
          <w:rFonts w:hint="eastAsia"/>
        </w:rPr>
        <w:t>6.4.1功能要求</w:t>
      </w:r>
      <w:bookmarkEnd w:id="77"/>
      <w:bookmarkEnd w:id="78"/>
      <w:bookmarkEnd w:id="79"/>
      <w:bookmarkStart w:id="80" w:name="_Toc119492255"/>
      <w:bookmarkStart w:id="81" w:name="_Toc119491211"/>
      <w:bookmarkStart w:id="82" w:name="_Toc119489012"/>
    </w:p>
    <w:p w14:paraId="4D8019A5">
      <w:pPr>
        <w:widowControl/>
        <w:spacing w:line="360" w:lineRule="auto"/>
        <w:jc w:val="left"/>
        <w:rPr>
          <w:rFonts w:hint="eastAsia" w:ascii="黑体" w:hAnsi="黑体" w:eastAsia="黑体" w:cs="黑体"/>
          <w:b w:val="0"/>
          <w:bCs/>
          <w:color w:val="auto"/>
          <w:szCs w:val="21"/>
        </w:rPr>
      </w:pPr>
      <w:r>
        <w:rPr>
          <w:rFonts w:hint="eastAsia" w:ascii="黑体" w:hAnsi="黑体" w:eastAsia="黑体" w:cs="黑体"/>
          <w:b w:val="0"/>
          <w:bCs/>
          <w:color w:val="auto"/>
          <w:szCs w:val="21"/>
        </w:rPr>
        <w:t>6.4.1.1基本功能要求</w:t>
      </w:r>
      <w:bookmarkEnd w:id="80"/>
      <w:bookmarkEnd w:id="81"/>
      <w:bookmarkEnd w:id="82"/>
    </w:p>
    <w:p w14:paraId="531A5669">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开关控制设备功能应满足GB/T 11022、GB/T 13729、DL/T 593、DL/T 721的相关规定外，还应满足如下要求； </w:t>
      </w:r>
    </w:p>
    <w:p w14:paraId="379DDFB8">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a) 具有遥信、遥测、遥控、遥调四遥功能，其中遥调功能可实现接收并执行配电自动化主站遥调命令。具备遥调异常自诊断功能，防误校正功能；</w:t>
      </w:r>
    </w:p>
    <w:p w14:paraId="1C0ACB23">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b) 具备电能计量功能，包括正向、反向有功电能量，正向、反向无功电能量计量； </w:t>
      </w:r>
    </w:p>
    <w:p w14:paraId="3CCBA311">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c) 应具备遥信防误报功能，避免控制设备初始化、运行中、断电等情况下产生误报遥信； </w:t>
      </w:r>
    </w:p>
    <w:p w14:paraId="73065F96">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d) 配合负荷开关使用时，具备非遮断电流闭锁功能；  </w:t>
      </w:r>
    </w:p>
    <w:p w14:paraId="7D1CC9CC">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e) 遥信输入回路可靠隔离，并具有软硬件滤波措施，防止输入接点抖动或强电磁场干扰误动。 </w:t>
      </w:r>
    </w:p>
    <w:p w14:paraId="645F41FE">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f) 遥测采集死区与上送死区应独立，每个遥测上送死区可独立设置。</w:t>
      </w:r>
    </w:p>
    <w:p w14:paraId="1AFD7FF7">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g) 能根据功率正负反映潮流的方向。</w:t>
      </w:r>
    </w:p>
    <w:p w14:paraId="2352DDFA">
      <w:pPr>
        <w:widowControl/>
        <w:spacing w:line="360" w:lineRule="auto"/>
        <w:jc w:val="left"/>
        <w:rPr>
          <w:rFonts w:hint="default" w:ascii="黑体" w:hAnsi="黑体" w:eastAsia="黑体" w:cs="黑体"/>
          <w:b w:val="0"/>
          <w:bCs/>
          <w:color w:val="auto"/>
          <w:szCs w:val="21"/>
        </w:rPr>
      </w:pPr>
      <w:bookmarkStart w:id="83" w:name="_Toc119491212"/>
      <w:bookmarkStart w:id="84" w:name="_Toc119489013"/>
      <w:bookmarkStart w:id="85" w:name="_Toc119492256"/>
      <w:r>
        <w:rPr>
          <w:rFonts w:hint="eastAsia" w:ascii="黑体" w:hAnsi="黑体" w:eastAsia="黑体" w:cs="黑体"/>
          <w:b w:val="0"/>
          <w:bCs/>
          <w:color w:val="auto"/>
          <w:szCs w:val="21"/>
        </w:rPr>
        <w:t>6.4.1.2故障判断功能</w:t>
      </w:r>
      <w:bookmarkEnd w:id="83"/>
      <w:bookmarkEnd w:id="84"/>
      <w:bookmarkEnd w:id="85"/>
      <w:r>
        <w:rPr>
          <w:rFonts w:hint="eastAsia" w:ascii="黑体" w:hAnsi="黑体" w:eastAsia="黑体" w:cs="黑体"/>
          <w:b w:val="0"/>
          <w:bCs/>
          <w:color w:val="auto"/>
          <w:szCs w:val="21"/>
        </w:rPr>
        <w:t xml:space="preserve"> </w:t>
      </w:r>
    </w:p>
    <w:p w14:paraId="3850E47C">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a) 具备相间短路故障和小电阻接地系统单相接地故障的检测与保护功能，满足相间短路三段式保护功能，三段定值和时间都应可设；满足零序两段式保护功能，两段定值和时间都应可设； </w:t>
      </w:r>
    </w:p>
    <w:p w14:paraId="5308299A">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b) 具备小电流接地系统单相接地故障就地判别和隔离功能，同时具备接地故障告警和就地切除功能； </w:t>
      </w:r>
    </w:p>
    <w:p w14:paraId="66853BF7">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c) 具备三相二次重合闸功能； </w:t>
      </w:r>
    </w:p>
    <w:p w14:paraId="3FE28E59">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d) 具备大电流闭锁重合闸功能； </w:t>
      </w:r>
    </w:p>
    <w:p w14:paraId="695BE79D">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e) 具备励磁涌流防误动作功能； </w:t>
      </w:r>
    </w:p>
    <w:p w14:paraId="60EE6BF1">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 xml:space="preserve">f) 具备故障录波功能，录波文件格式符合GB/T 14598.24的相关要求； </w:t>
      </w:r>
    </w:p>
    <w:p w14:paraId="1DB620BB">
      <w:pPr>
        <w:widowControl/>
        <w:ind w:firstLine="420" w:firstLineChars="200"/>
        <w:jc w:val="left"/>
        <w:rPr>
          <w:rFonts w:ascii="宋体" w:hAnsi="宋体" w:eastAsia="宋体" w:cs="宋体"/>
          <w:bCs/>
          <w:color w:val="auto"/>
          <w:kern w:val="0"/>
          <w:szCs w:val="21"/>
        </w:rPr>
      </w:pPr>
      <w:r>
        <w:rPr>
          <w:rFonts w:hint="eastAsia" w:ascii="宋体" w:hAnsi="宋体" w:eastAsia="宋体" w:cs="宋体"/>
          <w:bCs/>
          <w:color w:val="auto"/>
          <w:kern w:val="0"/>
          <w:szCs w:val="21"/>
        </w:rPr>
        <w:t>g) 具备故障指示手动复归、自动复归和主站远程复归功能。</w:t>
      </w:r>
    </w:p>
    <w:p w14:paraId="40B0C0DD">
      <w:pPr>
        <w:widowControl/>
        <w:spacing w:line="360" w:lineRule="auto"/>
        <w:jc w:val="left"/>
        <w:rPr>
          <w:rFonts w:hint="default" w:ascii="黑体" w:hAnsi="黑体" w:eastAsia="黑体" w:cs="黑体"/>
          <w:b w:val="0"/>
          <w:bCs/>
          <w:color w:val="auto"/>
          <w:szCs w:val="21"/>
        </w:rPr>
      </w:pPr>
      <w:bookmarkStart w:id="86" w:name="_Toc119489014"/>
      <w:bookmarkStart w:id="87" w:name="_Toc119491213"/>
      <w:bookmarkStart w:id="88" w:name="_Toc119492257"/>
      <w:r>
        <w:rPr>
          <w:rFonts w:hint="eastAsia" w:ascii="黑体" w:hAnsi="黑体" w:eastAsia="黑体" w:cs="黑体"/>
          <w:b w:val="0"/>
          <w:bCs/>
          <w:color w:val="auto"/>
          <w:szCs w:val="21"/>
        </w:rPr>
        <w:t>6.4.1.3接地故障处理功能</w:t>
      </w:r>
      <w:bookmarkEnd w:id="86"/>
      <w:bookmarkEnd w:id="87"/>
      <w:bookmarkEnd w:id="88"/>
      <w:r>
        <w:rPr>
          <w:rFonts w:hint="eastAsia" w:ascii="黑体" w:hAnsi="黑体" w:eastAsia="黑体" w:cs="黑体"/>
          <w:b w:val="0"/>
          <w:bCs/>
          <w:color w:val="auto"/>
          <w:szCs w:val="21"/>
        </w:rPr>
        <w:t xml:space="preserve"> </w:t>
      </w:r>
    </w:p>
    <w:p w14:paraId="6040BFC9">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a) 具备不同中性点接地方式下（</w:t>
      </w:r>
      <w:r>
        <w:rPr>
          <w:rFonts w:hint="eastAsia" w:ascii="宋体" w:hAnsi="宋体" w:eastAsia="宋体" w:cs="宋体"/>
          <w:bCs/>
          <w:color w:val="auto"/>
          <w:kern w:val="0"/>
          <w:szCs w:val="21"/>
        </w:rPr>
        <w:t>中性点不接地系统、经消弧线圈接地系统、经低电阻接地系统</w:t>
      </w:r>
      <w:r>
        <w:rPr>
          <w:rFonts w:hint="eastAsia" w:ascii="宋体" w:hAnsi="宋体" w:eastAsia="宋体" w:cs="宋体"/>
          <w:bCs/>
          <w:color w:val="auto"/>
          <w:kern w:val="21"/>
          <w:szCs w:val="21"/>
        </w:rPr>
        <w:t>）接地故障检测、判断与录波功能，并支持上送接地故障事件；支持录波数据循环存储并上传至主站；</w:t>
      </w:r>
    </w:p>
    <w:p w14:paraId="300638E2">
      <w:pPr>
        <w:overflowPunct w:val="0"/>
        <w:topLinePunct/>
        <w:ind w:firstLine="420" w:firstLineChars="200"/>
        <w:rPr>
          <w:bCs/>
          <w:color w:val="auto"/>
        </w:rPr>
      </w:pPr>
      <w:r>
        <w:rPr>
          <w:rFonts w:hint="eastAsia" w:ascii="宋体" w:hAnsi="宋体" w:eastAsia="宋体" w:cs="宋体"/>
          <w:bCs/>
          <w:color w:val="auto"/>
          <w:kern w:val="21"/>
          <w:szCs w:val="21"/>
        </w:rPr>
        <w:t>b) 具备故障就地动作功能。采用断路器时，可直接切除相间短路故障和不同中性点接地方式下接地故障；</w:t>
      </w:r>
    </w:p>
    <w:p w14:paraId="3817DE40">
      <w:pPr>
        <w:widowControl/>
        <w:spacing w:line="360" w:lineRule="auto"/>
        <w:jc w:val="left"/>
        <w:rPr>
          <w:rFonts w:hint="default" w:ascii="黑体" w:hAnsi="黑体" w:eastAsia="黑体" w:cs="黑体"/>
          <w:b w:val="0"/>
          <w:bCs/>
          <w:color w:val="auto"/>
          <w:szCs w:val="21"/>
        </w:rPr>
      </w:pPr>
      <w:bookmarkStart w:id="89" w:name="_Toc119489015"/>
      <w:bookmarkStart w:id="90" w:name="_Toc119491214"/>
      <w:bookmarkStart w:id="91" w:name="_Toc119492258"/>
      <w:r>
        <w:rPr>
          <w:rFonts w:hint="eastAsia" w:ascii="黑体" w:hAnsi="黑体" w:eastAsia="黑体" w:cs="黑体"/>
          <w:b w:val="0"/>
          <w:bCs/>
          <w:color w:val="auto"/>
          <w:szCs w:val="21"/>
        </w:rPr>
        <w:t>6.4.1.4短路故障处理功能</w:t>
      </w:r>
      <w:bookmarkEnd w:id="89"/>
      <w:bookmarkEnd w:id="90"/>
      <w:bookmarkEnd w:id="91"/>
    </w:p>
    <w:p w14:paraId="313B9D55">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a) 应能检测瞬时性和永久性短路故障，具备相间短路故障就地隔离功能；</w:t>
      </w:r>
    </w:p>
    <w:p w14:paraId="789A30ED">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 xml:space="preserve">b) 应能检测中性点不接地系统、经消弧线圈接地系统、经低电阻接地系统中的异相接地故障，即接地故障同时出现在不同的相、经过大地形成回路的短路故障； </w:t>
      </w:r>
    </w:p>
    <w:p w14:paraId="6F599C09">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c) 应能检测中性点直接接地系统中的单相接地形成的短路故障。</w:t>
      </w:r>
    </w:p>
    <w:p w14:paraId="31C12FB6">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d) 具备录波功能，并支持上送相间短路故障事件；支持录波数据循环存储并上传至主站；</w:t>
      </w:r>
    </w:p>
    <w:p w14:paraId="71A58CED">
      <w:pPr>
        <w:widowControl/>
        <w:spacing w:line="360" w:lineRule="auto"/>
        <w:jc w:val="left"/>
        <w:rPr>
          <w:rFonts w:hint="default" w:ascii="黑体" w:hAnsi="黑体" w:eastAsia="黑体" w:cs="黑体"/>
          <w:b w:val="0"/>
          <w:bCs/>
          <w:color w:val="auto"/>
          <w:szCs w:val="21"/>
        </w:rPr>
      </w:pPr>
      <w:bookmarkStart w:id="92" w:name="_Toc119492259"/>
      <w:bookmarkStart w:id="93" w:name="_Toc119491215"/>
      <w:bookmarkStart w:id="94" w:name="_Toc119489016"/>
      <w:r>
        <w:rPr>
          <w:rFonts w:hint="eastAsia" w:ascii="黑体" w:hAnsi="黑体" w:eastAsia="黑体" w:cs="黑体"/>
          <w:b w:val="0"/>
          <w:bCs/>
          <w:color w:val="auto"/>
          <w:szCs w:val="21"/>
        </w:rPr>
        <w:t>6.4.1.5通信功能</w:t>
      </w:r>
      <w:bookmarkEnd w:id="92"/>
      <w:bookmarkEnd w:id="93"/>
      <w:bookmarkEnd w:id="94"/>
      <w:r>
        <w:rPr>
          <w:rFonts w:hint="eastAsia" w:ascii="黑体" w:hAnsi="黑体" w:eastAsia="黑体" w:cs="黑体"/>
          <w:b w:val="0"/>
          <w:bCs/>
          <w:color w:val="auto"/>
          <w:szCs w:val="21"/>
        </w:rPr>
        <w:t xml:space="preserve"> </w:t>
      </w:r>
    </w:p>
    <w:p w14:paraId="12085698">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a) 具备与主站通信功能，支持光纤、载波、无线等通信方式与主站和子站进行通信，实现故障信息上报和线路设备信息的实时上送。</w:t>
      </w:r>
    </w:p>
    <w:p w14:paraId="526C096B">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b) 支持配电自动化DL/T 634.5101-2002和DL/T 634.5104-2009规约实施细则。宜支持采用IEC 61850 MMS通信协议，满足DL/T 860系列规范实施细则。宜支持Modbus通信协议，满足</w:t>
      </w:r>
      <w:r>
        <w:rPr>
          <w:bCs/>
          <w:color w:val="auto"/>
        </w:rPr>
        <w:fldChar w:fldCharType="begin"/>
      </w:r>
      <w:r>
        <w:rPr>
          <w:bCs/>
          <w:color w:val="auto"/>
        </w:rPr>
        <w:instrText xml:space="preserve"> HYPERLINK "https://www.antpedia.com/standard/5639096.html" \t "https://www.antpedia.com/standard/sp/_blank" </w:instrText>
      </w:r>
      <w:r>
        <w:rPr>
          <w:bCs/>
          <w:color w:val="auto"/>
        </w:rPr>
        <w:fldChar w:fldCharType="separate"/>
      </w:r>
      <w:r>
        <w:rPr>
          <w:rFonts w:hint="eastAsia" w:ascii="宋体" w:hAnsi="宋体" w:eastAsia="宋体" w:cs="宋体"/>
          <w:bCs/>
          <w:color w:val="auto"/>
          <w:kern w:val="21"/>
          <w:szCs w:val="21"/>
        </w:rPr>
        <w:t>GB/T 19582.1-2008</w:t>
      </w:r>
      <w:r>
        <w:rPr>
          <w:rFonts w:hint="eastAsia" w:ascii="宋体" w:hAnsi="宋体" w:eastAsia="宋体" w:cs="宋体"/>
          <w:bCs/>
          <w:color w:val="auto"/>
          <w:kern w:val="21"/>
          <w:szCs w:val="21"/>
        </w:rPr>
        <w:fldChar w:fldCharType="end"/>
      </w:r>
      <w:r>
        <w:rPr>
          <w:rFonts w:hint="eastAsia" w:ascii="宋体" w:hAnsi="宋体" w:eastAsia="宋体" w:cs="宋体"/>
          <w:bCs/>
          <w:color w:val="auto"/>
          <w:kern w:val="21"/>
          <w:szCs w:val="21"/>
        </w:rPr>
        <w:t>、</w:t>
      </w:r>
      <w:r>
        <w:rPr>
          <w:bCs/>
          <w:color w:val="auto"/>
        </w:rPr>
        <w:fldChar w:fldCharType="begin"/>
      </w:r>
      <w:r>
        <w:rPr>
          <w:bCs/>
          <w:color w:val="auto"/>
        </w:rPr>
        <w:instrText xml:space="preserve"> HYPERLINK "https://www.antpedia.com/standard/5639096.html" \t "https://www.antpedia.com/standard/sp/_blank" </w:instrText>
      </w:r>
      <w:r>
        <w:rPr>
          <w:bCs/>
          <w:color w:val="auto"/>
        </w:rPr>
        <w:fldChar w:fldCharType="separate"/>
      </w:r>
      <w:r>
        <w:rPr>
          <w:rFonts w:hint="eastAsia" w:ascii="宋体" w:hAnsi="宋体" w:eastAsia="宋体" w:cs="宋体"/>
          <w:bCs/>
          <w:color w:val="auto"/>
          <w:kern w:val="21"/>
          <w:szCs w:val="21"/>
        </w:rPr>
        <w:t>GB/T 19582.2-2008</w:t>
      </w:r>
      <w:r>
        <w:rPr>
          <w:rFonts w:hint="eastAsia" w:ascii="宋体" w:hAnsi="宋体" w:eastAsia="宋体" w:cs="宋体"/>
          <w:bCs/>
          <w:color w:val="auto"/>
          <w:kern w:val="21"/>
          <w:szCs w:val="21"/>
        </w:rPr>
        <w:fldChar w:fldCharType="end"/>
      </w:r>
      <w:r>
        <w:rPr>
          <w:rFonts w:hint="eastAsia" w:ascii="宋体" w:hAnsi="宋体" w:eastAsia="宋体" w:cs="宋体"/>
          <w:bCs/>
          <w:color w:val="auto"/>
          <w:kern w:val="21"/>
          <w:szCs w:val="21"/>
        </w:rPr>
        <w:t>规范实施细则。</w:t>
      </w:r>
    </w:p>
    <w:p w14:paraId="3A671BC8">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c) 支持通过硬连线或通信方式采集站端各类运行数据，同时具备新数据采集的扩展能力。</w:t>
      </w:r>
    </w:p>
    <w:p w14:paraId="1378E2D6">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d) 支持站端数据的统一远方交换功能，支持站端各专业完整数据的上传。</w:t>
      </w:r>
    </w:p>
    <w:p w14:paraId="7CAD76CA">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 xml:space="preserve">e) 支持数据上送无线通信模块，可采用配电终端加密或无线模块加密方式。 </w:t>
      </w:r>
    </w:p>
    <w:p w14:paraId="3914B5AC">
      <w:pPr>
        <w:widowControl/>
        <w:spacing w:line="360" w:lineRule="auto"/>
        <w:jc w:val="left"/>
        <w:rPr>
          <w:rFonts w:hint="default" w:ascii="黑体" w:hAnsi="黑体" w:eastAsia="黑体" w:cs="黑体"/>
          <w:b w:val="0"/>
          <w:bCs/>
          <w:color w:val="auto"/>
          <w:szCs w:val="21"/>
        </w:rPr>
      </w:pPr>
      <w:bookmarkStart w:id="95" w:name="_Toc119492260"/>
      <w:bookmarkStart w:id="96" w:name="_Toc119489017"/>
      <w:bookmarkStart w:id="97" w:name="_Toc119491216"/>
      <w:r>
        <w:rPr>
          <w:rFonts w:hint="eastAsia" w:ascii="黑体" w:hAnsi="黑体" w:eastAsia="黑体" w:cs="黑体"/>
          <w:b w:val="0"/>
          <w:bCs/>
          <w:color w:val="auto"/>
          <w:szCs w:val="21"/>
        </w:rPr>
        <w:t>6.4.1.6对时功能</w:t>
      </w:r>
      <w:bookmarkEnd w:id="95"/>
      <w:bookmarkEnd w:id="96"/>
      <w:bookmarkEnd w:id="97"/>
    </w:p>
    <w:p w14:paraId="6A9A1B90">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a) 具备主站时钟校时功能，支持北斗和GPS对时功能；</w:t>
      </w:r>
    </w:p>
    <w:p w14:paraId="558CB2CD">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b) GPS/北斗对时误差、守时误差、定位误差应满足DL/T 721的相关规定；</w:t>
      </w:r>
    </w:p>
    <w:p w14:paraId="18291A23">
      <w:pPr>
        <w:widowControl/>
        <w:spacing w:line="360" w:lineRule="auto"/>
        <w:jc w:val="left"/>
        <w:rPr>
          <w:rFonts w:hint="default" w:ascii="黑体" w:hAnsi="黑体" w:eastAsia="黑体" w:cs="黑体"/>
          <w:b w:val="0"/>
          <w:bCs/>
          <w:color w:val="auto"/>
          <w:szCs w:val="21"/>
        </w:rPr>
      </w:pPr>
      <w:bookmarkStart w:id="98" w:name="_Toc119491217"/>
      <w:bookmarkStart w:id="99" w:name="_Toc119492261"/>
      <w:bookmarkStart w:id="100" w:name="_Toc119489018"/>
      <w:r>
        <w:rPr>
          <w:rFonts w:hint="eastAsia" w:ascii="黑体" w:hAnsi="黑体" w:eastAsia="黑体" w:cs="黑体"/>
          <w:b w:val="0"/>
          <w:bCs/>
          <w:color w:val="auto"/>
          <w:szCs w:val="21"/>
        </w:rPr>
        <w:t>6.4.1.7自动化成套设备还需具备以下功能要求：</w:t>
      </w:r>
      <w:bookmarkEnd w:id="98"/>
      <w:bookmarkEnd w:id="99"/>
      <w:bookmarkEnd w:id="100"/>
    </w:p>
    <w:p w14:paraId="630ABAA3">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 xml:space="preserve">a) 具备软件和硬件残压检测功能； </w:t>
      </w:r>
    </w:p>
    <w:p w14:paraId="2935313C">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b) 具备开关拒动功能要求，控制器在逻辑保护功能发出控制命令后，若开关位置信号未发生变化或未达到无流条件（控制分闸），控制器应产生开关拒动信号。</w:t>
      </w:r>
    </w:p>
    <w:p w14:paraId="41AAC036">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c) 若要求具备电动隔离刀闸、电动接地刀闸远方遥控控制功能要求时，自动化成套装置应具备电动隔离刀闸、电动接地刀闸远方遥控，且当隔离刀闸或接地刀闸开关位置信号未发生变化或未达到执行条件（控制合闸及分闸），控制器应产生开关防误动作信号。</w:t>
      </w:r>
    </w:p>
    <w:p w14:paraId="0132BC51">
      <w:pPr>
        <w:overflowPunct w:val="0"/>
        <w:topLinePunct/>
        <w:ind w:firstLine="420" w:firstLineChars="200"/>
        <w:rPr>
          <w:rFonts w:ascii="宋体" w:hAnsi="宋体" w:eastAsia="宋体" w:cs="宋体"/>
          <w:bCs/>
          <w:color w:val="auto"/>
          <w:kern w:val="21"/>
          <w:szCs w:val="21"/>
        </w:rPr>
      </w:pPr>
      <w:r>
        <w:rPr>
          <w:rFonts w:hint="eastAsia" w:ascii="宋体" w:hAnsi="宋体" w:eastAsia="宋体" w:cs="宋体"/>
          <w:bCs/>
          <w:color w:val="auto"/>
          <w:kern w:val="21"/>
          <w:szCs w:val="21"/>
        </w:rPr>
        <w:t>d) 采用 SF</w:t>
      </w:r>
      <w:r>
        <w:rPr>
          <w:rFonts w:ascii="宋体" w:hAnsi="宋体" w:eastAsia="宋体" w:cs="宋体"/>
          <w:bCs/>
          <w:color w:val="auto"/>
          <w:kern w:val="21"/>
          <w:szCs w:val="21"/>
          <w:vertAlign w:val="subscript"/>
        </w:rPr>
        <w:t>6</w:t>
      </w:r>
      <w:r>
        <w:rPr>
          <w:rFonts w:hint="eastAsia" w:ascii="宋体" w:hAnsi="宋体" w:eastAsia="宋体" w:cs="宋体"/>
          <w:bCs/>
          <w:color w:val="auto"/>
          <w:kern w:val="21"/>
          <w:szCs w:val="21"/>
        </w:rPr>
        <w:t>作为绝缘或灭弧介质时，应提供SF</w:t>
      </w:r>
      <w:r>
        <w:rPr>
          <w:rFonts w:ascii="宋体" w:hAnsi="宋体" w:eastAsia="宋体" w:cs="宋体"/>
          <w:bCs/>
          <w:color w:val="auto"/>
          <w:kern w:val="21"/>
          <w:szCs w:val="21"/>
          <w:vertAlign w:val="subscript"/>
        </w:rPr>
        <w:t>6</w:t>
      </w:r>
      <w:r>
        <w:rPr>
          <w:rFonts w:hint="eastAsia" w:ascii="宋体" w:hAnsi="宋体" w:eastAsia="宋体" w:cs="宋体"/>
          <w:bCs/>
          <w:color w:val="auto"/>
          <w:kern w:val="21"/>
          <w:szCs w:val="21"/>
        </w:rPr>
        <w:t>告警信号并上传；</w:t>
      </w:r>
    </w:p>
    <w:p w14:paraId="7C99FF56">
      <w:pPr>
        <w:ind w:firstLine="420" w:firstLineChars="200"/>
        <w:jc w:val="left"/>
        <w:rPr>
          <w:rFonts w:eastAsia="宋体"/>
          <w:bCs/>
          <w:color w:val="auto"/>
        </w:rPr>
      </w:pPr>
      <w:r>
        <w:rPr>
          <w:rFonts w:hint="eastAsia" w:ascii="宋体" w:hAnsi="宋体" w:eastAsia="宋体" w:cs="宋体"/>
          <w:bCs/>
          <w:color w:val="auto"/>
          <w:kern w:val="0"/>
          <w:szCs w:val="21"/>
        </w:rPr>
        <w:t>e) 具有电源失电或通信中断后数据自动保存，断电瞬间不应出现测量错误，电源或通信恢复时，应自动恢复断电前的工作状态。</w:t>
      </w:r>
    </w:p>
    <w:p w14:paraId="2824E14C">
      <w:pPr>
        <w:pStyle w:val="43"/>
        <w:spacing w:line="360" w:lineRule="auto"/>
        <w:outlineLvl w:val="2"/>
        <w:rPr>
          <w:rFonts w:ascii="黑体" w:hAnsi="黑体" w:cs="黑体"/>
          <w:bCs/>
          <w:color w:val="auto"/>
          <w:szCs w:val="20"/>
          <w:lang w:val="zh-CN"/>
        </w:rPr>
      </w:pPr>
      <w:bookmarkStart w:id="101" w:name="_Toc119491218"/>
      <w:bookmarkStart w:id="102" w:name="_Toc119492262"/>
      <w:r>
        <w:rPr>
          <w:rFonts w:hint="eastAsia" w:ascii="黑体" w:hAnsi="黑体" w:cs="黑体"/>
          <w:bCs/>
          <w:color w:val="auto"/>
          <w:szCs w:val="20"/>
          <w:lang w:val="zh-CN"/>
        </w:rPr>
        <w:t>6.4.2性能要求</w:t>
      </w:r>
      <w:bookmarkEnd w:id="101"/>
      <w:bookmarkEnd w:id="102"/>
      <w:r>
        <w:rPr>
          <w:rFonts w:hint="eastAsia" w:ascii="黑体" w:hAnsi="黑体" w:cs="黑体"/>
          <w:bCs/>
          <w:color w:val="auto"/>
          <w:szCs w:val="20"/>
          <w:lang w:val="zh-CN"/>
        </w:rPr>
        <w:t xml:space="preserve"> </w:t>
      </w:r>
    </w:p>
    <w:p w14:paraId="69F8A1CE">
      <w:pPr>
        <w:widowControl/>
        <w:spacing w:line="360" w:lineRule="auto"/>
        <w:jc w:val="left"/>
        <w:rPr>
          <w:rFonts w:hint="default" w:ascii="黑体" w:hAnsi="黑体" w:eastAsia="黑体" w:cs="黑体"/>
          <w:b w:val="0"/>
          <w:bCs/>
          <w:color w:val="auto"/>
          <w:szCs w:val="21"/>
        </w:rPr>
      </w:pPr>
      <w:bookmarkStart w:id="103" w:name="_Toc119492263"/>
      <w:bookmarkStart w:id="104" w:name="_Toc119489019"/>
      <w:bookmarkStart w:id="105" w:name="_Toc119491219"/>
      <w:r>
        <w:rPr>
          <w:rFonts w:hint="eastAsia" w:ascii="黑体" w:hAnsi="黑体" w:eastAsia="黑体" w:cs="黑体"/>
          <w:b w:val="0"/>
          <w:bCs/>
          <w:color w:val="auto"/>
          <w:szCs w:val="21"/>
        </w:rPr>
        <w:t>6.4.2.1 成套设备互感器准确度</w:t>
      </w:r>
      <w:bookmarkEnd w:id="103"/>
      <w:bookmarkEnd w:id="104"/>
      <w:bookmarkEnd w:id="105"/>
      <w:r>
        <w:rPr>
          <w:rFonts w:hint="eastAsia" w:ascii="黑体" w:hAnsi="黑体" w:eastAsia="黑体" w:cs="黑体"/>
          <w:b w:val="0"/>
          <w:bCs/>
          <w:color w:val="auto"/>
          <w:szCs w:val="21"/>
        </w:rPr>
        <w:t xml:space="preserve"> </w:t>
      </w:r>
    </w:p>
    <w:p w14:paraId="772417F9">
      <w:pPr>
        <w:ind w:firstLine="420" w:firstLineChars="200"/>
        <w:jc w:val="left"/>
        <w:rPr>
          <w:bCs/>
          <w:color w:val="auto"/>
        </w:rPr>
      </w:pPr>
      <w:r>
        <w:rPr>
          <w:rFonts w:hint="eastAsia" w:ascii="宋体" w:hAnsi="宋体" w:eastAsia="宋体" w:cs="宋体"/>
          <w:bCs/>
          <w:color w:val="auto"/>
          <w:kern w:val="0"/>
          <w:szCs w:val="21"/>
        </w:rPr>
        <w:t>a) 电磁式电压互感器测量准确度等级为0.5级，保护准确度等级为3P；</w:t>
      </w:r>
    </w:p>
    <w:p w14:paraId="28EB37E4">
      <w:pPr>
        <w:ind w:firstLine="420" w:firstLineChars="200"/>
        <w:jc w:val="left"/>
        <w:rPr>
          <w:bCs/>
          <w:color w:val="auto"/>
        </w:rPr>
      </w:pPr>
      <w:r>
        <w:rPr>
          <w:rFonts w:hint="eastAsia" w:ascii="宋体" w:hAnsi="宋体" w:eastAsia="宋体" w:cs="宋体"/>
          <w:bCs/>
          <w:color w:val="auto"/>
          <w:kern w:val="0"/>
          <w:szCs w:val="21"/>
        </w:rPr>
        <w:t>b) 电磁式电流互感器测量准确度等级为0.5级，保护准确度等级为10P20；</w:t>
      </w:r>
    </w:p>
    <w:p w14:paraId="5A3E10CF">
      <w:pPr>
        <w:ind w:firstLine="420" w:firstLineChars="200"/>
        <w:jc w:val="left"/>
        <w:rPr>
          <w:rFonts w:ascii="黑体" w:hAnsi="宋体" w:eastAsia="黑体" w:cs="黑体"/>
          <w:sz w:val="22"/>
          <w:szCs w:val="22"/>
          <w:highlight w:val="none"/>
        </w:rPr>
      </w:pPr>
      <w:r>
        <w:rPr>
          <w:rFonts w:hint="eastAsia" w:ascii="宋体" w:hAnsi="宋体" w:eastAsia="宋体" w:cs="宋体"/>
          <w:kern w:val="0"/>
          <w:szCs w:val="21"/>
        </w:rPr>
        <w:t>c) 电子式电压互感器准确度等级为0.5级，</w:t>
      </w:r>
      <w:r>
        <w:rPr>
          <w:rFonts w:hint="eastAsia" w:ascii="宋体" w:hAnsi="宋体" w:eastAsia="宋体" w:cs="宋体"/>
          <w:kern w:val="0"/>
          <w:szCs w:val="21"/>
          <w:highlight w:val="none"/>
        </w:rPr>
        <w:t>保护准确度等级为3P；</w:t>
      </w:r>
    </w:p>
    <w:p w14:paraId="76FBB576">
      <w:pPr>
        <w:widowControl/>
        <w:spacing w:line="360" w:lineRule="auto"/>
        <w:jc w:val="left"/>
        <w:rPr>
          <w:rFonts w:hint="default" w:ascii="黑体" w:hAnsi="黑体" w:eastAsia="黑体" w:cs="黑体"/>
          <w:b w:val="0"/>
          <w:bCs/>
          <w:color w:val="auto"/>
          <w:szCs w:val="21"/>
          <w:highlight w:val="none"/>
        </w:rPr>
      </w:pPr>
      <w:bookmarkStart w:id="106" w:name="_Toc119491220"/>
      <w:bookmarkStart w:id="107" w:name="_Toc119489020"/>
      <w:bookmarkStart w:id="108" w:name="_Toc119492264"/>
      <w:r>
        <w:rPr>
          <w:rFonts w:hint="eastAsia" w:ascii="黑体" w:hAnsi="黑体" w:eastAsia="黑体" w:cs="黑体"/>
          <w:b w:val="0"/>
          <w:bCs/>
          <w:color w:val="auto"/>
          <w:szCs w:val="21"/>
          <w:highlight w:val="none"/>
        </w:rPr>
        <w:t>6.4.2.</w:t>
      </w:r>
      <w:r>
        <w:rPr>
          <w:rFonts w:hint="default" w:ascii="黑体" w:hAnsi="黑体" w:eastAsia="黑体" w:cs="黑体"/>
          <w:b w:val="0"/>
          <w:bCs/>
          <w:color w:val="auto"/>
          <w:szCs w:val="21"/>
          <w:highlight w:val="none"/>
        </w:rPr>
        <w:t>2</w:t>
      </w:r>
      <w:r>
        <w:rPr>
          <w:rFonts w:hint="eastAsia" w:ascii="黑体" w:hAnsi="黑体" w:eastAsia="黑体" w:cs="黑体"/>
          <w:b w:val="0"/>
          <w:bCs/>
          <w:color w:val="auto"/>
          <w:szCs w:val="21"/>
          <w:highlight w:val="none"/>
        </w:rPr>
        <w:t xml:space="preserve"> 成套设备故障处理性能</w:t>
      </w:r>
      <w:bookmarkEnd w:id="106"/>
      <w:bookmarkEnd w:id="107"/>
      <w:bookmarkEnd w:id="108"/>
      <w:r>
        <w:rPr>
          <w:rFonts w:hint="eastAsia" w:ascii="黑体" w:hAnsi="黑体" w:eastAsia="黑体" w:cs="黑体"/>
          <w:b w:val="0"/>
          <w:bCs/>
          <w:color w:val="auto"/>
          <w:szCs w:val="21"/>
          <w:highlight w:val="none"/>
        </w:rPr>
        <w:t xml:space="preserve"> </w:t>
      </w:r>
    </w:p>
    <w:p w14:paraId="5430A768">
      <w:pPr>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highlight w:val="none"/>
        </w:rPr>
        <w:t>a) 采用弹簧操作结构，整组固有动作时间应不大于100ms；</w:t>
      </w:r>
    </w:p>
    <w:p w14:paraId="4FBA13E5">
      <w:pPr>
        <w:ind w:firstLine="420" w:firstLineChars="200"/>
        <w:jc w:val="left"/>
        <w:rPr>
          <w:rFonts w:ascii="宋体" w:hAnsi="宋体" w:eastAsia="宋体" w:cs="宋体"/>
          <w:kern w:val="0"/>
          <w:szCs w:val="21"/>
          <w:highlight w:val="none"/>
        </w:rPr>
      </w:pPr>
      <w:r>
        <w:rPr>
          <w:rFonts w:hint="eastAsia" w:ascii="宋体" w:hAnsi="宋体" w:eastAsia="宋体" w:cs="宋体"/>
          <w:kern w:val="0"/>
          <w:szCs w:val="21"/>
          <w:highlight w:val="none"/>
        </w:rPr>
        <w:t>b) 采用永磁操作机构，整组固有动作时间应不大于70ms。</w:t>
      </w:r>
    </w:p>
    <w:p w14:paraId="08C002A0">
      <w:pPr>
        <w:widowControl/>
        <w:spacing w:line="360" w:lineRule="auto"/>
        <w:jc w:val="left"/>
        <w:rPr>
          <w:rFonts w:hint="default" w:ascii="黑体" w:hAnsi="黑体" w:eastAsia="黑体" w:cs="黑体"/>
          <w:b w:val="0"/>
          <w:bCs/>
          <w:color w:val="auto"/>
          <w:szCs w:val="21"/>
          <w:highlight w:val="none"/>
        </w:rPr>
      </w:pPr>
      <w:bookmarkStart w:id="109" w:name="_Toc119489021"/>
      <w:bookmarkStart w:id="110" w:name="_Toc119492265"/>
      <w:bookmarkStart w:id="111" w:name="_Toc119491221"/>
      <w:r>
        <w:rPr>
          <w:rFonts w:hint="eastAsia" w:ascii="黑体" w:hAnsi="黑体" w:eastAsia="黑体" w:cs="黑体"/>
          <w:b w:val="0"/>
          <w:bCs/>
          <w:color w:val="auto"/>
          <w:szCs w:val="21"/>
          <w:highlight w:val="none"/>
        </w:rPr>
        <w:t>6.4.2.3成套设备准确度</w:t>
      </w:r>
      <w:bookmarkEnd w:id="109"/>
      <w:bookmarkEnd w:id="110"/>
      <w:bookmarkEnd w:id="111"/>
      <w:r>
        <w:rPr>
          <w:rFonts w:hint="eastAsia" w:ascii="黑体" w:hAnsi="黑体" w:eastAsia="黑体" w:cs="黑体"/>
          <w:b w:val="0"/>
          <w:bCs/>
          <w:color w:val="auto"/>
          <w:szCs w:val="21"/>
          <w:highlight w:val="none"/>
        </w:rPr>
        <w:t xml:space="preserve"> </w:t>
      </w:r>
    </w:p>
    <w:p w14:paraId="00E5B3AF">
      <w:pPr>
        <w:widowControl/>
        <w:tabs>
          <w:tab w:val="center" w:pos="4201"/>
          <w:tab w:val="right" w:leader="dot" w:pos="9298"/>
        </w:tabs>
        <w:ind w:firstLine="420" w:firstLineChars="200"/>
        <w:rPr>
          <w:rFonts w:ascii="宋体" w:hAnsi="宋体" w:eastAsia="宋体" w:cs="宋体"/>
          <w:color w:val="000000"/>
          <w:szCs w:val="21"/>
          <w:highlight w:val="none"/>
        </w:rPr>
      </w:pPr>
      <w:r>
        <w:rPr>
          <w:rFonts w:hint="eastAsia" w:ascii="宋体" w:hAnsi="宋体" w:eastAsia="宋体" w:cs="宋体"/>
          <w:color w:val="000000"/>
          <w:szCs w:val="21"/>
          <w:highlight w:val="none"/>
        </w:rPr>
        <w:t>成套设备准确度以成套环网柜整机被测量相对误差测试结果为准参照表</w:t>
      </w:r>
      <w:r>
        <w:rPr>
          <w:rFonts w:hint="eastAsia" w:ascii="宋体" w:hAnsi="宋体" w:eastAsia="宋体" w:cs="宋体"/>
          <w:color w:val="000000"/>
          <w:szCs w:val="21"/>
          <w:highlight w:val="none"/>
          <w:lang w:val="en-US" w:eastAsia="zh-CN"/>
        </w:rPr>
        <w:t>6-</w:t>
      </w:r>
      <w:r>
        <w:rPr>
          <w:rFonts w:hint="eastAsia" w:ascii="宋体" w:hAnsi="宋体" w:eastAsia="宋体" w:cs="宋体"/>
          <w:color w:val="000000"/>
          <w:szCs w:val="21"/>
          <w:highlight w:val="none"/>
        </w:rPr>
        <w:t>1给定的数值。被测量的交流工频参比条件应满足DL/T 721的相关要求。</w:t>
      </w:r>
    </w:p>
    <w:p w14:paraId="09931263">
      <w:pPr>
        <w:widowControl/>
        <w:tabs>
          <w:tab w:val="center" w:pos="4201"/>
          <w:tab w:val="right" w:leader="dot" w:pos="9298"/>
        </w:tabs>
        <w:ind w:firstLine="420" w:firstLineChars="200"/>
        <w:jc w:val="center"/>
        <w:rPr>
          <w:rFonts w:hint="eastAsia" w:ascii="宋体" w:hAnsi="宋体" w:eastAsia="宋体" w:cs="宋体"/>
          <w:color w:val="000000"/>
          <w:szCs w:val="21"/>
          <w:highlight w:val="none"/>
        </w:rPr>
      </w:pPr>
      <w:r>
        <w:rPr>
          <w:rFonts w:hint="eastAsia" w:ascii="宋体" w:hAnsi="宋体" w:eastAsia="宋体" w:cs="宋体"/>
          <w:color w:val="000000"/>
          <w:szCs w:val="21"/>
          <w:highlight w:val="none"/>
        </w:rPr>
        <w:t>表6-1  参比条件下的误差限值</w:t>
      </w:r>
    </w:p>
    <w:tbl>
      <w:tblPr>
        <w:tblStyle w:val="25"/>
        <w:tblW w:w="8050" w:type="dxa"/>
        <w:jc w:val="center"/>
        <w:tblLayout w:type="fixed"/>
        <w:tblCellMar>
          <w:top w:w="0" w:type="dxa"/>
          <w:left w:w="0" w:type="dxa"/>
          <w:bottom w:w="0" w:type="dxa"/>
          <w:right w:w="0" w:type="dxa"/>
        </w:tblCellMar>
      </w:tblPr>
      <w:tblGrid>
        <w:gridCol w:w="1075"/>
        <w:gridCol w:w="3900"/>
        <w:gridCol w:w="2268"/>
        <w:gridCol w:w="807"/>
      </w:tblGrid>
      <w:tr w14:paraId="2F432A37">
        <w:tblPrEx>
          <w:tblCellMar>
            <w:top w:w="0" w:type="dxa"/>
            <w:left w:w="0" w:type="dxa"/>
            <w:bottom w:w="0" w:type="dxa"/>
            <w:right w:w="0" w:type="dxa"/>
          </w:tblCellMar>
        </w:tblPrEx>
        <w:trPr>
          <w:cantSplit/>
          <w:trHeight w:val="567" w:hRule="atLeast"/>
          <w:tblHeader/>
          <w:jc w:val="center"/>
        </w:trPr>
        <w:tc>
          <w:tcPr>
            <w:tcW w:w="1075" w:type="dxa"/>
            <w:tcBorders>
              <w:top w:val="single" w:color="000000" w:sz="4" w:space="0"/>
              <w:left w:val="single" w:color="000000" w:sz="4" w:space="0"/>
              <w:bottom w:val="single" w:color="000000" w:sz="4" w:space="0"/>
              <w:right w:val="single" w:color="000000" w:sz="4" w:space="0"/>
            </w:tcBorders>
            <w:vAlign w:val="center"/>
          </w:tcPr>
          <w:p w14:paraId="2B6ED023">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项目</w:t>
            </w:r>
          </w:p>
        </w:tc>
        <w:tc>
          <w:tcPr>
            <w:tcW w:w="3900" w:type="dxa"/>
            <w:tcBorders>
              <w:top w:val="single" w:color="000000" w:sz="4" w:space="0"/>
              <w:left w:val="single" w:color="000000" w:sz="4" w:space="0"/>
              <w:bottom w:val="single" w:color="000000" w:sz="4" w:space="0"/>
              <w:right w:val="single" w:color="000000" w:sz="4" w:space="0"/>
            </w:tcBorders>
            <w:vAlign w:val="center"/>
          </w:tcPr>
          <w:p w14:paraId="46105CD2">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被测量区间</w:t>
            </w:r>
          </w:p>
        </w:tc>
        <w:tc>
          <w:tcPr>
            <w:tcW w:w="2268" w:type="dxa"/>
            <w:tcBorders>
              <w:top w:val="single" w:color="000000" w:sz="4" w:space="0"/>
              <w:left w:val="single" w:color="000000" w:sz="4" w:space="0"/>
              <w:bottom w:val="single" w:color="000000" w:sz="4" w:space="0"/>
              <w:right w:val="single" w:color="000000" w:sz="4" w:space="0"/>
            </w:tcBorders>
            <w:vAlign w:val="center"/>
          </w:tcPr>
          <w:p w14:paraId="79C6A601">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误差限值</w:t>
            </w:r>
          </w:p>
        </w:tc>
        <w:tc>
          <w:tcPr>
            <w:tcW w:w="807" w:type="dxa"/>
            <w:tcBorders>
              <w:top w:val="single" w:color="000000" w:sz="4" w:space="0"/>
              <w:left w:val="single" w:color="000000" w:sz="4" w:space="0"/>
              <w:bottom w:val="single" w:color="000000" w:sz="4" w:space="0"/>
              <w:right w:val="single" w:color="000000" w:sz="4" w:space="0"/>
            </w:tcBorders>
            <w:vAlign w:val="center"/>
          </w:tcPr>
          <w:p w14:paraId="4ABEF747">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备注</w:t>
            </w:r>
          </w:p>
        </w:tc>
      </w:tr>
      <w:tr w14:paraId="31C5BF2D">
        <w:tblPrEx>
          <w:tblCellMar>
            <w:top w:w="0" w:type="dxa"/>
            <w:left w:w="0" w:type="dxa"/>
            <w:bottom w:w="0" w:type="dxa"/>
            <w:right w:w="0" w:type="dxa"/>
          </w:tblCellMar>
        </w:tblPrEx>
        <w:trPr>
          <w:cantSplit/>
          <w:trHeight w:val="567" w:hRule="atLeast"/>
          <w:jc w:val="center"/>
        </w:trPr>
        <w:tc>
          <w:tcPr>
            <w:tcW w:w="1075" w:type="dxa"/>
            <w:tcBorders>
              <w:top w:val="single" w:color="000000" w:sz="4" w:space="0"/>
              <w:left w:val="single" w:color="000000" w:sz="4" w:space="0"/>
              <w:bottom w:val="single" w:color="000000" w:sz="4" w:space="0"/>
              <w:right w:val="single" w:color="000000" w:sz="4" w:space="0"/>
            </w:tcBorders>
            <w:vAlign w:val="center"/>
          </w:tcPr>
          <w:p w14:paraId="46022E02">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相序电压</w:t>
            </w:r>
          </w:p>
        </w:tc>
        <w:tc>
          <w:tcPr>
            <w:tcW w:w="3900" w:type="dxa"/>
            <w:tcBorders>
              <w:top w:val="single" w:color="000000" w:sz="4" w:space="0"/>
              <w:left w:val="single" w:color="000000" w:sz="4" w:space="0"/>
              <w:bottom w:val="single" w:color="000000" w:sz="4" w:space="0"/>
              <w:right w:val="single" w:color="000000" w:sz="4" w:space="0"/>
            </w:tcBorders>
            <w:vAlign w:val="center"/>
          </w:tcPr>
          <w:p w14:paraId="7A2254B9">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0.05Un≤Ux≤Umax</w:t>
            </w:r>
          </w:p>
        </w:tc>
        <w:tc>
          <w:tcPr>
            <w:tcW w:w="2268" w:type="dxa"/>
            <w:tcBorders>
              <w:top w:val="single" w:color="000000" w:sz="4" w:space="0"/>
              <w:left w:val="single" w:color="000000" w:sz="4" w:space="0"/>
              <w:bottom w:val="single" w:color="000000" w:sz="4" w:space="0"/>
              <w:right w:val="single" w:color="000000" w:sz="4" w:space="0"/>
            </w:tcBorders>
            <w:vAlign w:val="center"/>
          </w:tcPr>
          <w:p w14:paraId="1C8A889F">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29738644">
            <w:pPr>
              <w:jc w:val="center"/>
              <w:rPr>
                <w:rFonts w:ascii="Times New Roman" w:hAnsi="Times New Roman" w:eastAsia="宋体" w:cs="Times New Roman"/>
                <w:color w:val="000000"/>
                <w:szCs w:val="20"/>
                <w:highlight w:val="none"/>
              </w:rPr>
            </w:pPr>
          </w:p>
        </w:tc>
      </w:tr>
      <w:tr w14:paraId="4760ED1C">
        <w:tblPrEx>
          <w:tblCellMar>
            <w:top w:w="0" w:type="dxa"/>
            <w:left w:w="0" w:type="dxa"/>
            <w:bottom w:w="0" w:type="dxa"/>
            <w:right w:w="0" w:type="dxa"/>
          </w:tblCellMar>
        </w:tblPrEx>
        <w:trPr>
          <w:cantSplit/>
          <w:trHeight w:val="567" w:hRule="atLeast"/>
          <w:jc w:val="center"/>
        </w:trPr>
        <w:tc>
          <w:tcPr>
            <w:tcW w:w="1075" w:type="dxa"/>
            <w:tcBorders>
              <w:top w:val="single" w:color="000000" w:sz="4" w:space="0"/>
              <w:left w:val="single" w:color="000000" w:sz="4" w:space="0"/>
              <w:bottom w:val="single" w:color="000000" w:sz="4" w:space="0"/>
              <w:right w:val="single" w:color="000000" w:sz="4" w:space="0"/>
            </w:tcBorders>
            <w:vAlign w:val="center"/>
          </w:tcPr>
          <w:p w14:paraId="2A160ACA">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零序电压</w:t>
            </w:r>
          </w:p>
        </w:tc>
        <w:tc>
          <w:tcPr>
            <w:tcW w:w="3900" w:type="dxa"/>
            <w:tcBorders>
              <w:top w:val="single" w:color="000000" w:sz="4" w:space="0"/>
              <w:left w:val="single" w:color="000000" w:sz="4" w:space="0"/>
              <w:bottom w:val="single" w:color="000000" w:sz="4" w:space="0"/>
              <w:right w:val="single" w:color="000000" w:sz="4" w:space="0"/>
            </w:tcBorders>
            <w:vAlign w:val="center"/>
          </w:tcPr>
          <w:p w14:paraId="7CDFBC3B">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0.05Ur≤U0≤Umax</w:t>
            </w:r>
          </w:p>
        </w:tc>
        <w:tc>
          <w:tcPr>
            <w:tcW w:w="2268" w:type="dxa"/>
            <w:tcBorders>
              <w:top w:val="single" w:color="000000" w:sz="4" w:space="0"/>
              <w:left w:val="single" w:color="000000" w:sz="4" w:space="0"/>
              <w:bottom w:val="single" w:color="000000" w:sz="4" w:space="0"/>
              <w:right w:val="single" w:color="000000" w:sz="4" w:space="0"/>
            </w:tcBorders>
            <w:vAlign w:val="center"/>
          </w:tcPr>
          <w:p w14:paraId="471A82C9">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±3%</w:t>
            </w:r>
          </w:p>
        </w:tc>
        <w:tc>
          <w:tcPr>
            <w:tcW w:w="807" w:type="dxa"/>
            <w:tcBorders>
              <w:top w:val="single" w:color="000000" w:sz="4" w:space="0"/>
              <w:left w:val="single" w:color="000000" w:sz="4" w:space="0"/>
              <w:bottom w:val="single" w:color="000000" w:sz="4" w:space="0"/>
              <w:right w:val="single" w:color="000000" w:sz="4" w:space="0"/>
            </w:tcBorders>
            <w:vAlign w:val="center"/>
          </w:tcPr>
          <w:p w14:paraId="0744F75D">
            <w:pPr>
              <w:jc w:val="center"/>
              <w:rPr>
                <w:rFonts w:ascii="Times New Roman" w:hAnsi="Times New Roman" w:eastAsia="宋体" w:cs="Times New Roman"/>
                <w:color w:val="000000"/>
                <w:szCs w:val="20"/>
                <w:highlight w:val="none"/>
              </w:rPr>
            </w:pPr>
          </w:p>
        </w:tc>
      </w:tr>
      <w:tr w14:paraId="3DD95A34">
        <w:tblPrEx>
          <w:tblCellMar>
            <w:top w:w="0" w:type="dxa"/>
            <w:left w:w="0" w:type="dxa"/>
            <w:bottom w:w="0" w:type="dxa"/>
            <w:right w:w="0" w:type="dxa"/>
          </w:tblCellMar>
        </w:tblPrEx>
        <w:trPr>
          <w:cantSplit/>
          <w:trHeight w:val="567" w:hRule="atLeast"/>
          <w:jc w:val="center"/>
        </w:trPr>
        <w:tc>
          <w:tcPr>
            <w:tcW w:w="1075" w:type="dxa"/>
            <w:vMerge w:val="restart"/>
            <w:tcBorders>
              <w:top w:val="single" w:color="000000" w:sz="4" w:space="0"/>
              <w:left w:val="single" w:color="000000" w:sz="4" w:space="0"/>
              <w:right w:val="single" w:color="000000" w:sz="4" w:space="0"/>
            </w:tcBorders>
            <w:vAlign w:val="center"/>
          </w:tcPr>
          <w:p w14:paraId="4873A993">
            <w:pPr>
              <w:jc w:val="center"/>
              <w:rPr>
                <w:rFonts w:ascii="Times New Roman" w:hAnsi="Times New Roman" w:eastAsia="宋体" w:cs="Times New Roman"/>
                <w:color w:val="000000"/>
                <w:szCs w:val="20"/>
                <w:highlight w:val="none"/>
              </w:rPr>
            </w:pPr>
            <w:r>
              <w:rPr>
                <w:rFonts w:hint="eastAsia" w:ascii="Times New Roman" w:hAnsi="Times New Roman" w:eastAsia="宋体" w:cs="Times New Roman"/>
                <w:color w:val="000000"/>
                <w:szCs w:val="20"/>
                <w:highlight w:val="none"/>
              </w:rPr>
              <w:t>相序电流</w:t>
            </w:r>
          </w:p>
        </w:tc>
        <w:tc>
          <w:tcPr>
            <w:tcW w:w="3900" w:type="dxa"/>
            <w:tcBorders>
              <w:top w:val="single" w:color="000000" w:sz="4" w:space="0"/>
              <w:left w:val="single" w:color="000000" w:sz="4" w:space="0"/>
              <w:bottom w:val="single" w:color="000000" w:sz="4" w:space="0"/>
              <w:right w:val="single" w:color="000000" w:sz="4" w:space="0"/>
            </w:tcBorders>
            <w:vAlign w:val="center"/>
          </w:tcPr>
          <w:p w14:paraId="13BFADAB">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0.01In≤Ix&lt;0.05In</w:t>
            </w:r>
          </w:p>
        </w:tc>
        <w:tc>
          <w:tcPr>
            <w:tcW w:w="2268" w:type="dxa"/>
            <w:tcBorders>
              <w:top w:val="single" w:color="000000" w:sz="4" w:space="0"/>
              <w:left w:val="single" w:color="000000" w:sz="4" w:space="0"/>
              <w:bottom w:val="single" w:color="000000" w:sz="4" w:space="0"/>
              <w:right w:val="single" w:color="000000" w:sz="4" w:space="0"/>
            </w:tcBorders>
            <w:vAlign w:val="center"/>
          </w:tcPr>
          <w:p w14:paraId="1E599178">
            <w:pPr>
              <w:jc w:val="center"/>
              <w:rPr>
                <w:rFonts w:ascii="宋体" w:hAnsi="宋体" w:eastAsia="宋体" w:cs="宋体"/>
                <w:color w:val="000000"/>
                <w:szCs w:val="20"/>
                <w:highlight w:val="none"/>
              </w:rPr>
            </w:pPr>
            <w:r>
              <w:rPr>
                <w:rFonts w:hint="eastAsia" w:ascii="宋体" w:hAnsi="宋体" w:eastAsia="宋体" w:cs="宋体"/>
                <w:color w:val="000000"/>
                <w:szCs w:val="20"/>
                <w:highlight w:val="none"/>
              </w:rPr>
              <w:t>±2%</w:t>
            </w:r>
          </w:p>
        </w:tc>
        <w:tc>
          <w:tcPr>
            <w:tcW w:w="807" w:type="dxa"/>
            <w:tcBorders>
              <w:top w:val="single" w:color="000000" w:sz="4" w:space="0"/>
              <w:left w:val="single" w:color="000000" w:sz="4" w:space="0"/>
              <w:bottom w:val="single" w:color="000000" w:sz="4" w:space="0"/>
              <w:right w:val="single" w:color="000000" w:sz="4" w:space="0"/>
            </w:tcBorders>
            <w:vAlign w:val="center"/>
          </w:tcPr>
          <w:p w14:paraId="5DD93942">
            <w:pPr>
              <w:jc w:val="center"/>
              <w:rPr>
                <w:rFonts w:ascii="Times New Roman" w:hAnsi="Times New Roman" w:eastAsia="宋体" w:cs="Times New Roman"/>
                <w:color w:val="000000"/>
                <w:szCs w:val="20"/>
                <w:highlight w:val="none"/>
              </w:rPr>
            </w:pPr>
          </w:p>
        </w:tc>
      </w:tr>
      <w:tr w14:paraId="78C2B50D">
        <w:tblPrEx>
          <w:tblCellMar>
            <w:top w:w="0" w:type="dxa"/>
            <w:left w:w="0" w:type="dxa"/>
            <w:bottom w:w="0" w:type="dxa"/>
            <w:right w:w="0" w:type="dxa"/>
          </w:tblCellMar>
        </w:tblPrEx>
        <w:trPr>
          <w:cantSplit/>
          <w:trHeight w:val="567" w:hRule="atLeast"/>
          <w:jc w:val="center"/>
        </w:trPr>
        <w:tc>
          <w:tcPr>
            <w:tcW w:w="1075" w:type="dxa"/>
            <w:vMerge w:val="continue"/>
            <w:tcBorders>
              <w:left w:val="single" w:color="000000" w:sz="4" w:space="0"/>
              <w:right w:val="single" w:color="000000" w:sz="4" w:space="0"/>
            </w:tcBorders>
            <w:vAlign w:val="center"/>
          </w:tcPr>
          <w:p w14:paraId="357C4DD6">
            <w:pPr>
              <w:jc w:val="center"/>
              <w:rPr>
                <w:rFonts w:ascii="Times New Roman" w:hAnsi="Times New Roman" w:eastAsia="宋体" w:cs="Times New Roman"/>
                <w:color w:val="000000"/>
                <w:szCs w:val="20"/>
              </w:rPr>
            </w:pPr>
          </w:p>
        </w:tc>
        <w:tc>
          <w:tcPr>
            <w:tcW w:w="3900" w:type="dxa"/>
            <w:tcBorders>
              <w:top w:val="single" w:color="000000" w:sz="4" w:space="0"/>
              <w:left w:val="single" w:color="000000" w:sz="4" w:space="0"/>
              <w:bottom w:val="single" w:color="000000" w:sz="4" w:space="0"/>
              <w:right w:val="single" w:color="000000" w:sz="4" w:space="0"/>
            </w:tcBorders>
            <w:vAlign w:val="center"/>
          </w:tcPr>
          <w:p w14:paraId="36A29C73">
            <w:pPr>
              <w:jc w:val="center"/>
              <w:rPr>
                <w:rFonts w:ascii="宋体" w:hAnsi="宋体" w:eastAsia="宋体" w:cs="宋体"/>
                <w:color w:val="000000"/>
                <w:szCs w:val="20"/>
              </w:rPr>
            </w:pPr>
            <w:r>
              <w:rPr>
                <w:rFonts w:hint="eastAsia" w:ascii="宋体" w:hAnsi="宋体" w:eastAsia="宋体" w:cs="宋体"/>
                <w:color w:val="000000"/>
                <w:szCs w:val="20"/>
              </w:rPr>
              <w:t>0.05In≤Ix≤1.2In</w:t>
            </w:r>
          </w:p>
        </w:tc>
        <w:tc>
          <w:tcPr>
            <w:tcW w:w="2268" w:type="dxa"/>
            <w:tcBorders>
              <w:top w:val="single" w:color="000000" w:sz="4" w:space="0"/>
              <w:left w:val="single" w:color="000000" w:sz="4" w:space="0"/>
              <w:bottom w:val="single" w:color="000000" w:sz="4" w:space="0"/>
              <w:right w:val="single" w:color="000000" w:sz="4" w:space="0"/>
            </w:tcBorders>
            <w:vAlign w:val="center"/>
          </w:tcPr>
          <w:p w14:paraId="3F5FD2A2">
            <w:pPr>
              <w:jc w:val="center"/>
              <w:rPr>
                <w:rFonts w:ascii="宋体" w:hAnsi="宋体" w:eastAsia="宋体" w:cs="宋体"/>
                <w:color w:val="000000"/>
                <w:szCs w:val="20"/>
              </w:rPr>
            </w:pPr>
            <w:r>
              <w:rPr>
                <w:rFonts w:hint="eastAsia" w:ascii="宋体" w:hAnsi="宋体" w:eastAsia="宋体" w:cs="宋体"/>
                <w:color w:val="000000"/>
                <w:szCs w:val="20"/>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0ECD54C8">
            <w:pPr>
              <w:jc w:val="center"/>
              <w:rPr>
                <w:rFonts w:ascii="Times New Roman" w:hAnsi="Times New Roman" w:eastAsia="宋体" w:cs="Times New Roman"/>
                <w:color w:val="000000"/>
                <w:szCs w:val="20"/>
              </w:rPr>
            </w:pPr>
          </w:p>
        </w:tc>
      </w:tr>
      <w:tr w14:paraId="05CAF66C">
        <w:tblPrEx>
          <w:tblCellMar>
            <w:top w:w="0" w:type="dxa"/>
            <w:left w:w="0" w:type="dxa"/>
            <w:bottom w:w="0" w:type="dxa"/>
            <w:right w:w="0" w:type="dxa"/>
          </w:tblCellMar>
        </w:tblPrEx>
        <w:trPr>
          <w:cantSplit/>
          <w:trHeight w:val="567" w:hRule="atLeast"/>
          <w:jc w:val="center"/>
        </w:trPr>
        <w:tc>
          <w:tcPr>
            <w:tcW w:w="1075" w:type="dxa"/>
            <w:vMerge w:val="continue"/>
            <w:tcBorders>
              <w:left w:val="single" w:color="000000" w:sz="4" w:space="0"/>
              <w:bottom w:val="single" w:color="000000" w:sz="4" w:space="0"/>
              <w:right w:val="single" w:color="000000" w:sz="4" w:space="0"/>
            </w:tcBorders>
            <w:vAlign w:val="center"/>
          </w:tcPr>
          <w:p w14:paraId="644F8912">
            <w:pPr>
              <w:jc w:val="center"/>
              <w:rPr>
                <w:rFonts w:ascii="Times New Roman" w:hAnsi="Times New Roman" w:eastAsia="宋体" w:cs="Times New Roman"/>
                <w:color w:val="000000"/>
                <w:szCs w:val="20"/>
              </w:rPr>
            </w:pPr>
          </w:p>
        </w:tc>
        <w:tc>
          <w:tcPr>
            <w:tcW w:w="3900" w:type="dxa"/>
            <w:tcBorders>
              <w:top w:val="single" w:color="000000" w:sz="4" w:space="0"/>
              <w:left w:val="single" w:color="000000" w:sz="4" w:space="0"/>
              <w:bottom w:val="single" w:color="auto" w:sz="4" w:space="0"/>
              <w:right w:val="single" w:color="000000" w:sz="4" w:space="0"/>
            </w:tcBorders>
            <w:vAlign w:val="center"/>
          </w:tcPr>
          <w:p w14:paraId="28179412">
            <w:pPr>
              <w:jc w:val="center"/>
              <w:rPr>
                <w:rFonts w:ascii="宋体" w:hAnsi="宋体" w:eastAsia="宋体" w:cs="宋体"/>
                <w:color w:val="000000"/>
                <w:szCs w:val="20"/>
              </w:rPr>
            </w:pPr>
            <w:r>
              <w:rPr>
                <w:rFonts w:hint="eastAsia" w:ascii="宋体" w:hAnsi="宋体" w:eastAsia="宋体" w:cs="宋体"/>
                <w:color w:val="000000"/>
                <w:szCs w:val="20"/>
              </w:rPr>
              <w:t>1.2In&lt;Ix≤Imax</w:t>
            </w:r>
          </w:p>
        </w:tc>
        <w:tc>
          <w:tcPr>
            <w:tcW w:w="2268" w:type="dxa"/>
            <w:tcBorders>
              <w:top w:val="single" w:color="000000" w:sz="4" w:space="0"/>
              <w:left w:val="single" w:color="000000" w:sz="4" w:space="0"/>
              <w:bottom w:val="single" w:color="000000" w:sz="4" w:space="0"/>
              <w:right w:val="single" w:color="000000" w:sz="4" w:space="0"/>
            </w:tcBorders>
            <w:vAlign w:val="center"/>
          </w:tcPr>
          <w:p w14:paraId="112F6FF3">
            <w:pPr>
              <w:jc w:val="center"/>
              <w:rPr>
                <w:rFonts w:ascii="宋体" w:hAnsi="宋体" w:eastAsia="宋体" w:cs="宋体"/>
                <w:color w:val="000000"/>
                <w:szCs w:val="20"/>
              </w:rPr>
            </w:pPr>
            <w:r>
              <w:rPr>
                <w:rFonts w:hint="eastAsia" w:ascii="宋体" w:hAnsi="宋体" w:eastAsia="宋体" w:cs="宋体"/>
                <w:color w:val="000000"/>
                <w:szCs w:val="20"/>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5C3748AF">
            <w:pPr>
              <w:jc w:val="center"/>
              <w:rPr>
                <w:rFonts w:ascii="Times New Roman" w:hAnsi="Times New Roman" w:eastAsia="宋体" w:cs="Times New Roman"/>
                <w:color w:val="000000"/>
                <w:szCs w:val="20"/>
              </w:rPr>
            </w:pPr>
          </w:p>
        </w:tc>
      </w:tr>
      <w:tr w14:paraId="1D0E577A">
        <w:tblPrEx>
          <w:tblCellMar>
            <w:top w:w="0" w:type="dxa"/>
            <w:left w:w="0" w:type="dxa"/>
            <w:bottom w:w="0" w:type="dxa"/>
            <w:right w:w="0" w:type="dxa"/>
          </w:tblCellMar>
        </w:tblPrEx>
        <w:trPr>
          <w:cantSplit/>
          <w:trHeight w:val="567" w:hRule="atLeast"/>
          <w:jc w:val="center"/>
        </w:trPr>
        <w:tc>
          <w:tcPr>
            <w:tcW w:w="1075" w:type="dxa"/>
            <w:vMerge w:val="restart"/>
            <w:tcBorders>
              <w:top w:val="single" w:color="000000" w:sz="4" w:space="0"/>
              <w:left w:val="single" w:color="000000" w:sz="4" w:space="0"/>
              <w:right w:val="single" w:color="auto" w:sz="4" w:space="0"/>
            </w:tcBorders>
            <w:vAlign w:val="center"/>
          </w:tcPr>
          <w:p w14:paraId="380B6677">
            <w:pPr>
              <w:jc w:val="center"/>
              <w:rPr>
                <w:rFonts w:ascii="Times New Roman" w:hAnsi="Times New Roman" w:eastAsia="宋体" w:cs="Times New Roman"/>
                <w:color w:val="000000"/>
                <w:szCs w:val="20"/>
              </w:rPr>
            </w:pPr>
            <w:r>
              <w:rPr>
                <w:rFonts w:hint="eastAsia" w:ascii="Times New Roman" w:hAnsi="Times New Roman" w:eastAsia="宋体" w:cs="Times New Roman"/>
                <w:color w:val="000000"/>
                <w:szCs w:val="20"/>
              </w:rPr>
              <w:t>零序电流</w:t>
            </w:r>
          </w:p>
        </w:tc>
        <w:tc>
          <w:tcPr>
            <w:tcW w:w="3900" w:type="dxa"/>
            <w:tcBorders>
              <w:top w:val="single" w:color="auto" w:sz="4" w:space="0"/>
              <w:left w:val="single" w:color="auto" w:sz="4" w:space="0"/>
              <w:bottom w:val="single" w:color="auto" w:sz="4" w:space="0"/>
              <w:right w:val="single" w:color="auto" w:sz="4" w:space="0"/>
            </w:tcBorders>
            <w:vAlign w:val="center"/>
          </w:tcPr>
          <w:p w14:paraId="3EC5B7CA">
            <w:pPr>
              <w:jc w:val="center"/>
              <w:rPr>
                <w:rFonts w:ascii="宋体" w:hAnsi="宋体" w:eastAsia="宋体" w:cs="宋体"/>
                <w:color w:val="000000"/>
                <w:szCs w:val="20"/>
              </w:rPr>
            </w:pPr>
            <w:r>
              <w:rPr>
                <w:rFonts w:hint="eastAsia" w:ascii="宋体" w:hAnsi="宋体" w:eastAsia="宋体" w:cs="宋体"/>
                <w:color w:val="000000"/>
                <w:szCs w:val="20"/>
              </w:rPr>
              <w:t>0.05In≤I0≤1.2In</w:t>
            </w:r>
          </w:p>
        </w:tc>
        <w:tc>
          <w:tcPr>
            <w:tcW w:w="2268" w:type="dxa"/>
            <w:tcBorders>
              <w:top w:val="single" w:color="000000" w:sz="4" w:space="0"/>
              <w:left w:val="single" w:color="auto" w:sz="4" w:space="0"/>
              <w:bottom w:val="single" w:color="000000" w:sz="4" w:space="0"/>
              <w:right w:val="single" w:color="000000" w:sz="4" w:space="0"/>
            </w:tcBorders>
            <w:vAlign w:val="center"/>
          </w:tcPr>
          <w:p w14:paraId="6B24B4C1">
            <w:pPr>
              <w:jc w:val="center"/>
              <w:rPr>
                <w:rFonts w:ascii="宋体" w:hAnsi="宋体" w:eastAsia="宋体" w:cs="宋体"/>
                <w:color w:val="000000"/>
                <w:szCs w:val="20"/>
              </w:rPr>
            </w:pPr>
            <w:r>
              <w:rPr>
                <w:rFonts w:hint="eastAsia" w:ascii="宋体" w:hAnsi="宋体" w:eastAsia="宋体" w:cs="宋体"/>
                <w:color w:val="000000"/>
                <w:szCs w:val="20"/>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7BB8879A">
            <w:pPr>
              <w:jc w:val="center"/>
              <w:rPr>
                <w:rFonts w:ascii="Times New Roman" w:hAnsi="Times New Roman" w:eastAsia="宋体" w:cs="Times New Roman"/>
                <w:color w:val="000000"/>
                <w:szCs w:val="20"/>
              </w:rPr>
            </w:pPr>
          </w:p>
        </w:tc>
      </w:tr>
      <w:tr w14:paraId="4A8121F7">
        <w:tblPrEx>
          <w:tblCellMar>
            <w:top w:w="0" w:type="dxa"/>
            <w:left w:w="0" w:type="dxa"/>
            <w:bottom w:w="0" w:type="dxa"/>
            <w:right w:w="0" w:type="dxa"/>
          </w:tblCellMar>
        </w:tblPrEx>
        <w:trPr>
          <w:cantSplit/>
          <w:trHeight w:val="567" w:hRule="atLeast"/>
          <w:jc w:val="center"/>
        </w:trPr>
        <w:tc>
          <w:tcPr>
            <w:tcW w:w="1075" w:type="dxa"/>
            <w:vMerge w:val="continue"/>
            <w:tcBorders>
              <w:left w:val="single" w:color="000000" w:sz="4" w:space="0"/>
              <w:bottom w:val="single" w:color="auto" w:sz="4" w:space="0"/>
              <w:right w:val="single" w:color="auto" w:sz="4" w:space="0"/>
            </w:tcBorders>
            <w:vAlign w:val="center"/>
          </w:tcPr>
          <w:p w14:paraId="4842FEF2">
            <w:pPr>
              <w:jc w:val="center"/>
              <w:rPr>
                <w:rFonts w:ascii="Times New Roman" w:hAnsi="Times New Roman" w:eastAsia="宋体" w:cs="Times New Roman"/>
                <w:color w:val="000000"/>
                <w:szCs w:val="20"/>
              </w:rPr>
            </w:pPr>
          </w:p>
        </w:tc>
        <w:tc>
          <w:tcPr>
            <w:tcW w:w="3900" w:type="dxa"/>
            <w:tcBorders>
              <w:top w:val="single" w:color="auto" w:sz="4" w:space="0"/>
              <w:left w:val="single" w:color="auto" w:sz="4" w:space="0"/>
              <w:bottom w:val="single" w:color="auto" w:sz="4" w:space="0"/>
              <w:right w:val="single" w:color="auto" w:sz="4" w:space="0"/>
            </w:tcBorders>
            <w:vAlign w:val="center"/>
          </w:tcPr>
          <w:p w14:paraId="5E6BCA28">
            <w:pPr>
              <w:jc w:val="center"/>
              <w:rPr>
                <w:rFonts w:ascii="宋体" w:hAnsi="宋体" w:eastAsia="宋体" w:cs="宋体"/>
                <w:szCs w:val="20"/>
              </w:rPr>
            </w:pPr>
            <w:r>
              <w:rPr>
                <w:rFonts w:hint="eastAsia" w:ascii="宋体" w:hAnsi="宋体" w:eastAsia="宋体" w:cs="宋体"/>
                <w:szCs w:val="20"/>
              </w:rPr>
              <w:t>1.2In&lt;Ix≤Imax</w:t>
            </w:r>
          </w:p>
        </w:tc>
        <w:tc>
          <w:tcPr>
            <w:tcW w:w="2268" w:type="dxa"/>
            <w:tcBorders>
              <w:top w:val="single" w:color="000000" w:sz="4" w:space="0"/>
              <w:left w:val="single" w:color="auto" w:sz="4" w:space="0"/>
              <w:bottom w:val="single" w:color="000000" w:sz="4" w:space="0"/>
              <w:right w:val="single" w:color="000000" w:sz="4" w:space="0"/>
            </w:tcBorders>
            <w:vAlign w:val="center"/>
          </w:tcPr>
          <w:p w14:paraId="7EA452FA">
            <w:pPr>
              <w:jc w:val="center"/>
              <w:rPr>
                <w:rFonts w:ascii="宋体" w:hAnsi="宋体" w:eastAsia="宋体" w:cs="宋体"/>
                <w:szCs w:val="20"/>
              </w:rPr>
            </w:pPr>
            <w:r>
              <w:rPr>
                <w:rFonts w:hint="eastAsia" w:ascii="宋体" w:hAnsi="宋体" w:eastAsia="宋体" w:cs="宋体"/>
                <w:szCs w:val="20"/>
              </w:rPr>
              <w:t>±3%</w:t>
            </w:r>
          </w:p>
          <w:p w14:paraId="7D58C0E8">
            <w:pPr>
              <w:jc w:val="center"/>
              <w:rPr>
                <w:rFonts w:ascii="宋体" w:hAnsi="宋体" w:eastAsia="宋体" w:cs="宋体"/>
                <w:szCs w:val="20"/>
              </w:rPr>
            </w:pPr>
            <w:r>
              <w:rPr>
                <w:rFonts w:hint="eastAsia" w:ascii="宋体" w:hAnsi="宋体" w:eastAsia="宋体" w:cs="宋体"/>
                <w:szCs w:val="20"/>
              </w:rPr>
              <w:t>±5%</w:t>
            </w:r>
          </w:p>
        </w:tc>
        <w:tc>
          <w:tcPr>
            <w:tcW w:w="807" w:type="dxa"/>
            <w:tcBorders>
              <w:top w:val="single" w:color="000000" w:sz="4" w:space="0"/>
              <w:left w:val="single" w:color="000000" w:sz="4" w:space="0"/>
              <w:bottom w:val="single" w:color="000000" w:sz="4" w:space="0"/>
              <w:right w:val="single" w:color="000000" w:sz="4" w:space="0"/>
            </w:tcBorders>
            <w:vAlign w:val="center"/>
          </w:tcPr>
          <w:p w14:paraId="40448E8C">
            <w:pPr>
              <w:jc w:val="center"/>
              <w:rPr>
                <w:rFonts w:ascii="Times New Roman" w:hAnsi="Times New Roman" w:eastAsia="宋体" w:cs="Times New Roman"/>
                <w:color w:val="FF0000"/>
                <w:szCs w:val="20"/>
              </w:rPr>
            </w:pPr>
          </w:p>
        </w:tc>
      </w:tr>
      <w:tr w14:paraId="42D00DD4">
        <w:tblPrEx>
          <w:tblCellMar>
            <w:top w:w="0" w:type="dxa"/>
            <w:left w:w="0" w:type="dxa"/>
            <w:bottom w:w="0" w:type="dxa"/>
            <w:right w:w="0" w:type="dxa"/>
          </w:tblCellMar>
        </w:tblPrEx>
        <w:trPr>
          <w:cantSplit/>
          <w:trHeight w:val="567" w:hRule="atLeast"/>
          <w:jc w:val="center"/>
        </w:trPr>
        <w:tc>
          <w:tcPr>
            <w:tcW w:w="1075" w:type="dxa"/>
            <w:tcBorders>
              <w:top w:val="single" w:color="auto" w:sz="4" w:space="0"/>
              <w:left w:val="single" w:color="auto" w:sz="4" w:space="0"/>
              <w:bottom w:val="single" w:color="auto" w:sz="4" w:space="0"/>
              <w:right w:val="single" w:color="auto" w:sz="4" w:space="0"/>
            </w:tcBorders>
            <w:vAlign w:val="center"/>
          </w:tcPr>
          <w:p w14:paraId="0CA9BE10">
            <w:pPr>
              <w:jc w:val="center"/>
              <w:rPr>
                <w:rFonts w:ascii="Times New Roman" w:hAnsi="Times New Roman" w:eastAsia="宋体" w:cs="Times New Roman"/>
                <w:color w:val="000000"/>
                <w:szCs w:val="20"/>
              </w:rPr>
            </w:pPr>
            <w:r>
              <w:rPr>
                <w:rFonts w:hint="eastAsia" w:ascii="Times New Roman" w:hAnsi="Times New Roman" w:eastAsia="宋体" w:cs="Times New Roman"/>
                <w:color w:val="000000"/>
                <w:szCs w:val="20"/>
              </w:rPr>
              <w:t>有功功率</w:t>
            </w:r>
          </w:p>
        </w:tc>
        <w:tc>
          <w:tcPr>
            <w:tcW w:w="3900" w:type="dxa"/>
            <w:tcBorders>
              <w:top w:val="single" w:color="auto" w:sz="4" w:space="0"/>
              <w:left w:val="single" w:color="auto" w:sz="4" w:space="0"/>
              <w:bottom w:val="single" w:color="auto" w:sz="4" w:space="0"/>
              <w:right w:val="single" w:color="auto" w:sz="4" w:space="0"/>
            </w:tcBorders>
            <w:vAlign w:val="center"/>
          </w:tcPr>
          <w:p w14:paraId="66F22E52">
            <w:pPr>
              <w:jc w:val="center"/>
              <w:rPr>
                <w:rFonts w:ascii="宋体" w:hAnsi="宋体" w:eastAsia="宋体" w:cs="宋体"/>
                <w:color w:val="000000"/>
                <w:szCs w:val="20"/>
              </w:rPr>
            </w:pPr>
            <w:r>
              <w:rPr>
                <w:rFonts w:hint="eastAsia" w:ascii="宋体" w:hAnsi="宋体" w:eastAsia="宋体" w:cs="宋体"/>
                <w:color w:val="000000"/>
                <w:szCs w:val="20"/>
              </w:rPr>
              <w:t>Ux=Un，0.05In≤Ix≤1.2In</w:t>
            </w:r>
          </w:p>
        </w:tc>
        <w:tc>
          <w:tcPr>
            <w:tcW w:w="2268" w:type="dxa"/>
            <w:tcBorders>
              <w:top w:val="single" w:color="000000" w:sz="4" w:space="0"/>
              <w:left w:val="single" w:color="auto" w:sz="4" w:space="0"/>
              <w:bottom w:val="single" w:color="000000" w:sz="4" w:space="0"/>
              <w:right w:val="single" w:color="000000" w:sz="4" w:space="0"/>
            </w:tcBorders>
            <w:vAlign w:val="center"/>
          </w:tcPr>
          <w:p w14:paraId="0E53CDEC">
            <w:pPr>
              <w:jc w:val="center"/>
              <w:rPr>
                <w:rFonts w:ascii="宋体" w:hAnsi="宋体" w:eastAsia="宋体" w:cs="宋体"/>
                <w:color w:val="000000"/>
                <w:szCs w:val="20"/>
              </w:rPr>
            </w:pPr>
            <w:r>
              <w:rPr>
                <w:rFonts w:hint="eastAsia" w:ascii="宋体" w:hAnsi="宋体" w:eastAsia="宋体" w:cs="宋体"/>
                <w:color w:val="000000"/>
                <w:szCs w:val="20"/>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050FA82D">
            <w:pPr>
              <w:jc w:val="center"/>
              <w:rPr>
                <w:rFonts w:ascii="Times New Roman" w:hAnsi="Times New Roman" w:eastAsia="宋体" w:cs="Times New Roman"/>
                <w:color w:val="000000"/>
                <w:szCs w:val="20"/>
              </w:rPr>
            </w:pPr>
          </w:p>
        </w:tc>
      </w:tr>
      <w:tr w14:paraId="5332990F">
        <w:tblPrEx>
          <w:tblCellMar>
            <w:top w:w="0" w:type="dxa"/>
            <w:left w:w="0" w:type="dxa"/>
            <w:bottom w:w="0" w:type="dxa"/>
            <w:right w:w="0" w:type="dxa"/>
          </w:tblCellMar>
        </w:tblPrEx>
        <w:trPr>
          <w:cantSplit/>
          <w:trHeight w:val="567" w:hRule="atLeast"/>
          <w:jc w:val="center"/>
        </w:trPr>
        <w:tc>
          <w:tcPr>
            <w:tcW w:w="1075" w:type="dxa"/>
            <w:tcBorders>
              <w:top w:val="single" w:color="auto" w:sz="4" w:space="0"/>
              <w:left w:val="single" w:color="auto" w:sz="4" w:space="0"/>
              <w:bottom w:val="single" w:color="auto" w:sz="4" w:space="0"/>
              <w:right w:val="single" w:color="auto" w:sz="4" w:space="0"/>
            </w:tcBorders>
            <w:vAlign w:val="center"/>
          </w:tcPr>
          <w:p w14:paraId="23F7F892">
            <w:pPr>
              <w:jc w:val="center"/>
              <w:rPr>
                <w:rFonts w:ascii="Times New Roman" w:hAnsi="Times New Roman" w:eastAsia="宋体" w:cs="Times New Roman"/>
                <w:color w:val="000000"/>
                <w:szCs w:val="20"/>
              </w:rPr>
            </w:pPr>
            <w:r>
              <w:rPr>
                <w:rFonts w:hint="eastAsia" w:ascii="Times New Roman" w:hAnsi="Times New Roman" w:eastAsia="宋体" w:cs="Times New Roman"/>
                <w:color w:val="000000"/>
                <w:szCs w:val="20"/>
              </w:rPr>
              <w:t>无功功率</w:t>
            </w:r>
          </w:p>
        </w:tc>
        <w:tc>
          <w:tcPr>
            <w:tcW w:w="3900" w:type="dxa"/>
            <w:tcBorders>
              <w:top w:val="single" w:color="auto" w:sz="4" w:space="0"/>
              <w:left w:val="single" w:color="auto" w:sz="4" w:space="0"/>
              <w:bottom w:val="single" w:color="auto" w:sz="4" w:space="0"/>
              <w:right w:val="single" w:color="auto" w:sz="4" w:space="0"/>
            </w:tcBorders>
            <w:vAlign w:val="center"/>
          </w:tcPr>
          <w:p w14:paraId="241EE1C9">
            <w:pPr>
              <w:jc w:val="center"/>
              <w:rPr>
                <w:rFonts w:ascii="宋体" w:hAnsi="宋体" w:eastAsia="宋体" w:cs="宋体"/>
                <w:szCs w:val="20"/>
              </w:rPr>
            </w:pPr>
            <w:r>
              <w:rPr>
                <w:rFonts w:hint="eastAsia" w:ascii="宋体" w:hAnsi="宋体" w:eastAsia="宋体" w:cs="宋体"/>
                <w:szCs w:val="20"/>
              </w:rPr>
              <w:t>Ux=Un，0.05In≤Ix≤1.2In</w:t>
            </w:r>
          </w:p>
        </w:tc>
        <w:tc>
          <w:tcPr>
            <w:tcW w:w="2268" w:type="dxa"/>
            <w:tcBorders>
              <w:top w:val="single" w:color="000000" w:sz="4" w:space="0"/>
              <w:left w:val="single" w:color="auto" w:sz="4" w:space="0"/>
              <w:bottom w:val="single" w:color="000000" w:sz="4" w:space="0"/>
              <w:right w:val="single" w:color="000000" w:sz="4" w:space="0"/>
            </w:tcBorders>
            <w:vAlign w:val="center"/>
          </w:tcPr>
          <w:p w14:paraId="5DC2B04F">
            <w:pPr>
              <w:jc w:val="center"/>
              <w:rPr>
                <w:rFonts w:ascii="宋体" w:hAnsi="宋体" w:eastAsia="宋体" w:cs="宋体"/>
                <w:szCs w:val="20"/>
              </w:rPr>
            </w:pPr>
            <w:r>
              <w:rPr>
                <w:rFonts w:hint="eastAsia" w:ascii="宋体" w:hAnsi="宋体" w:eastAsia="宋体" w:cs="宋体"/>
                <w:szCs w:val="20"/>
              </w:rPr>
              <w:t>±1%</w:t>
            </w:r>
          </w:p>
        </w:tc>
        <w:tc>
          <w:tcPr>
            <w:tcW w:w="807" w:type="dxa"/>
            <w:tcBorders>
              <w:top w:val="single" w:color="000000" w:sz="4" w:space="0"/>
              <w:left w:val="single" w:color="000000" w:sz="4" w:space="0"/>
              <w:bottom w:val="single" w:color="000000" w:sz="4" w:space="0"/>
              <w:right w:val="single" w:color="000000" w:sz="4" w:space="0"/>
            </w:tcBorders>
            <w:vAlign w:val="center"/>
          </w:tcPr>
          <w:p w14:paraId="2C17D9C1">
            <w:pPr>
              <w:jc w:val="center"/>
              <w:rPr>
                <w:rFonts w:ascii="Times New Roman" w:hAnsi="Times New Roman" w:eastAsia="宋体" w:cs="Times New Roman"/>
                <w:color w:val="FF0000"/>
                <w:szCs w:val="20"/>
              </w:rPr>
            </w:pPr>
          </w:p>
        </w:tc>
      </w:tr>
    </w:tbl>
    <w:p w14:paraId="68D85351">
      <w:pPr>
        <w:tabs>
          <w:tab w:val="center" w:pos="4201"/>
          <w:tab w:val="right" w:leader="dot" w:pos="9298"/>
        </w:tabs>
        <w:ind w:firstLine="420" w:firstLineChars="200"/>
      </w:pPr>
      <w:r>
        <w:rPr>
          <w:rFonts w:hint="eastAsia" w:ascii="宋体" w:hAnsi="宋体" w:eastAsia="宋体" w:cs="宋体"/>
          <w:color w:val="000000"/>
          <w:szCs w:val="21"/>
        </w:rPr>
        <w:t>进行影响量试验时，误差变化不应超过DL/T 721的相关要求。</w:t>
      </w:r>
    </w:p>
    <w:p w14:paraId="1E5B29C7">
      <w:pPr>
        <w:widowControl/>
        <w:spacing w:line="360" w:lineRule="auto"/>
        <w:jc w:val="left"/>
        <w:rPr>
          <w:rFonts w:hint="default" w:ascii="黑体" w:hAnsi="黑体" w:eastAsia="黑体" w:cs="黑体"/>
          <w:b w:val="0"/>
          <w:bCs/>
          <w:color w:val="auto"/>
          <w:szCs w:val="21"/>
        </w:rPr>
      </w:pPr>
      <w:bookmarkStart w:id="112" w:name="_Toc119492266"/>
      <w:bookmarkStart w:id="113" w:name="_Toc119489022"/>
      <w:bookmarkStart w:id="114" w:name="_Toc119491222"/>
      <w:r>
        <w:rPr>
          <w:rFonts w:hint="eastAsia" w:ascii="黑体" w:hAnsi="黑体" w:eastAsia="黑体" w:cs="黑体"/>
          <w:b w:val="0"/>
          <w:bCs/>
          <w:color w:val="auto"/>
          <w:szCs w:val="21"/>
        </w:rPr>
        <w:t>6.4.2.3局部放电量要求</w:t>
      </w:r>
      <w:bookmarkEnd w:id="112"/>
      <w:bookmarkEnd w:id="113"/>
      <w:bookmarkEnd w:id="114"/>
      <w:r>
        <w:rPr>
          <w:rFonts w:hint="eastAsia" w:ascii="黑体" w:hAnsi="黑体" w:eastAsia="黑体" w:cs="黑体"/>
          <w:b w:val="0"/>
          <w:bCs/>
          <w:color w:val="auto"/>
          <w:szCs w:val="21"/>
        </w:rPr>
        <w:t xml:space="preserve"> </w:t>
      </w:r>
    </w:p>
    <w:p w14:paraId="505622CC">
      <w:pPr>
        <w:tabs>
          <w:tab w:val="center" w:pos="4201"/>
          <w:tab w:val="right" w:leader="dot" w:pos="9298"/>
        </w:tabs>
        <w:ind w:firstLine="420" w:firstLineChars="200"/>
        <w:rPr>
          <w:rFonts w:ascii="宋体" w:hAnsi="宋体" w:eastAsia="宋体" w:cs="宋体"/>
          <w:szCs w:val="21"/>
        </w:rPr>
      </w:pPr>
      <w:r>
        <w:rPr>
          <w:rFonts w:hint="eastAsia" w:ascii="宋体" w:hAnsi="宋体" w:eastAsia="宋体" w:cs="宋体"/>
          <w:color w:val="000000"/>
          <w:szCs w:val="21"/>
        </w:rPr>
        <w:t>a) 成套设备局部放电量应满足GB/T 7354的相关规定，加装传感器后成套设备局部放电量应满足在1.1Ur（13.2 kV）电压下，断路器/负合开关单元的最大允许局部放电量不大于</w:t>
      </w:r>
      <w:r>
        <w:rPr>
          <w:rFonts w:hint="eastAsia" w:ascii="宋体" w:hAnsi="宋体" w:eastAsia="宋体" w:cs="宋体"/>
          <w:szCs w:val="21"/>
        </w:rPr>
        <w:t>20 pC，PT单元的最大允许局部放电量不大于80 pC。</w:t>
      </w:r>
    </w:p>
    <w:p w14:paraId="333A34FA">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b) 暂态地电压传感器测量范围：0dBmV～60dBmV，测量频带：3MHz～100MHz。</w:t>
      </w:r>
    </w:p>
    <w:p w14:paraId="40CDE6FB">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c) 超声波传感器测量范围：0dBμV～60dBμV，中心频率为（40+1）kHz，线性度误差&lt;20%。</w:t>
      </w:r>
    </w:p>
    <w:p w14:paraId="598B9BCB">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d) 局部放电采集终端采集时间间隔可设置，最小采样间隔不大于5分钟。</w:t>
      </w:r>
    </w:p>
    <w:p w14:paraId="000EA581">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e) 开关柜局放软件宜实时显示局部放电幅值、频次、峰值、均值、噪声水平以及脉冲周期数数据，</w:t>
      </w:r>
      <w:r>
        <w:rPr>
          <w:rFonts w:ascii="宋体" w:hAnsi="宋体" w:eastAsia="宋体" w:cs="宋体"/>
          <w:color w:val="000000"/>
          <w:szCs w:val="21"/>
        </w:rPr>
        <w:t>具备</w:t>
      </w:r>
      <w:r>
        <w:rPr>
          <w:rFonts w:hint="eastAsia" w:ascii="宋体" w:hAnsi="宋体" w:eastAsia="宋体" w:cs="宋体"/>
          <w:color w:val="000000"/>
          <w:szCs w:val="21"/>
        </w:rPr>
        <w:t>PRPD图谱、PRPS图谱、历史趋势图等</w:t>
      </w:r>
      <w:r>
        <w:rPr>
          <w:rFonts w:ascii="宋体" w:hAnsi="宋体" w:eastAsia="宋体" w:cs="宋体"/>
          <w:color w:val="000000"/>
          <w:szCs w:val="21"/>
        </w:rPr>
        <w:t>功能</w:t>
      </w:r>
      <w:r>
        <w:rPr>
          <w:rFonts w:hint="eastAsia" w:ascii="宋体" w:hAnsi="宋体" w:eastAsia="宋体" w:cs="宋体"/>
          <w:color w:val="000000"/>
          <w:szCs w:val="21"/>
        </w:rPr>
        <w:t>。</w:t>
      </w:r>
    </w:p>
    <w:p w14:paraId="31D3A2B8">
      <w:pPr>
        <w:widowControl/>
        <w:spacing w:line="360" w:lineRule="auto"/>
        <w:jc w:val="left"/>
        <w:rPr>
          <w:rFonts w:hint="default" w:ascii="黑体" w:hAnsi="黑体" w:eastAsia="黑体" w:cs="黑体"/>
          <w:b w:val="0"/>
          <w:bCs/>
          <w:color w:val="auto"/>
          <w:szCs w:val="21"/>
        </w:rPr>
      </w:pPr>
      <w:bookmarkStart w:id="115" w:name="_Toc119489023"/>
      <w:bookmarkStart w:id="116" w:name="_Toc119492267"/>
      <w:bookmarkStart w:id="117" w:name="_Toc119491223"/>
      <w:r>
        <w:rPr>
          <w:rFonts w:hint="eastAsia" w:ascii="黑体" w:hAnsi="黑体" w:eastAsia="黑体" w:cs="黑体"/>
          <w:b w:val="0"/>
          <w:bCs/>
          <w:color w:val="auto"/>
          <w:szCs w:val="21"/>
        </w:rPr>
        <w:t>6.4.2.4温度在线监测性能要求</w:t>
      </w:r>
      <w:bookmarkEnd w:id="115"/>
      <w:bookmarkEnd w:id="116"/>
      <w:bookmarkEnd w:id="117"/>
    </w:p>
    <w:p w14:paraId="48153B2E">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温度在线监测采集器性能要求除应满足NB∕T 42086的相关规定外，还应满足以下要求：</w:t>
      </w:r>
    </w:p>
    <w:p w14:paraId="3F4A32E1">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a) 温度在线监测系统应能实时反应成套设备温度变化情况，并具备温度异常告警功能。</w:t>
      </w:r>
    </w:p>
    <w:p w14:paraId="64E93BAA">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b) 温度在线监测系统应具备设备自检功能，包括传感器自检、通讯自检等。</w:t>
      </w:r>
    </w:p>
    <w:p w14:paraId="59689CAF">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c) 温度在线监测系统应具备数据保存、数据输出、数据显示功能。</w:t>
      </w:r>
    </w:p>
    <w:p w14:paraId="2A0F24D5">
      <w:pPr>
        <w:tabs>
          <w:tab w:val="center" w:pos="4201"/>
          <w:tab w:val="right" w:leader="dot" w:pos="9298"/>
        </w:tabs>
        <w:ind w:firstLine="420" w:firstLineChars="200"/>
        <w:rPr>
          <w:rFonts w:ascii="宋体" w:hAnsi="宋体" w:eastAsia="宋体" w:cs="宋体"/>
          <w:color w:val="000000"/>
          <w:szCs w:val="21"/>
        </w:rPr>
      </w:pPr>
      <w:r>
        <w:rPr>
          <w:rFonts w:hint="eastAsia" w:ascii="宋体" w:hAnsi="宋体" w:eastAsia="宋体" w:cs="宋体"/>
          <w:color w:val="000000"/>
          <w:szCs w:val="21"/>
        </w:rPr>
        <w:t xml:space="preserve">d) </w:t>
      </w:r>
      <w:r>
        <w:rPr>
          <w:rFonts w:ascii="宋体" w:hAnsi="宋体" w:eastAsia="宋体" w:cs="宋体"/>
          <w:color w:val="000000"/>
          <w:szCs w:val="21"/>
        </w:rPr>
        <w:t>测量精度：-40℃~+125℃范围绝对误差不小于1℃；无线测温终端，稳定运行1~2h，绝对误差不大于2℃。</w:t>
      </w:r>
    </w:p>
    <w:p w14:paraId="64E83B01">
      <w:pPr>
        <w:widowControl/>
        <w:spacing w:line="360" w:lineRule="auto"/>
        <w:jc w:val="left"/>
        <w:rPr>
          <w:rFonts w:hint="default" w:ascii="黑体" w:hAnsi="黑体" w:eastAsia="黑体" w:cs="黑体"/>
          <w:b w:val="0"/>
          <w:bCs/>
          <w:color w:val="auto"/>
          <w:szCs w:val="21"/>
        </w:rPr>
      </w:pPr>
      <w:bookmarkStart w:id="118" w:name="_Toc119492268"/>
      <w:bookmarkStart w:id="119" w:name="_Toc119491224"/>
      <w:bookmarkStart w:id="120" w:name="_Toc119489024"/>
      <w:r>
        <w:rPr>
          <w:rFonts w:hint="eastAsia" w:ascii="黑体" w:hAnsi="黑体" w:eastAsia="黑体" w:cs="黑体"/>
          <w:b w:val="0"/>
          <w:bCs/>
          <w:color w:val="auto"/>
          <w:szCs w:val="21"/>
        </w:rPr>
        <w:t>6.4.2.5 成套高低温性能要求</w:t>
      </w:r>
      <w:bookmarkEnd w:id="118"/>
      <w:bookmarkEnd w:id="119"/>
      <w:bookmarkEnd w:id="120"/>
    </w:p>
    <w:p w14:paraId="1C830DB4">
      <w:pPr>
        <w:widowControl/>
        <w:ind w:firstLine="420" w:firstLineChars="200"/>
        <w:jc w:val="left"/>
        <w:rPr>
          <w:rFonts w:ascii="黑体" w:hAnsi="宋体" w:eastAsia="黑体" w:cs="黑体"/>
          <w:color w:val="000000"/>
          <w:sz w:val="22"/>
          <w:szCs w:val="22"/>
        </w:rPr>
      </w:pPr>
      <w:r>
        <w:rPr>
          <w:rFonts w:hint="eastAsia" w:ascii="宋体" w:hAnsi="宋体" w:eastAsia="宋体" w:cs="宋体"/>
          <w:color w:val="000000"/>
          <w:szCs w:val="21"/>
        </w:rPr>
        <w:t>应满足GB/T 3906、DL/T 404、DL/T 721的相关规定，在恶劣高、低温环境下运行，成套设备基本功能、遥信及遥控功能正常；成套设备准确度误差不超限；开关设备、互感器、配电终端应完好，无明显裂痕。</w:t>
      </w:r>
    </w:p>
    <w:p w14:paraId="1A758774">
      <w:pPr>
        <w:spacing w:line="360" w:lineRule="auto"/>
        <w:textAlignment w:val="baseline"/>
        <w:outlineLvl w:val="1"/>
        <w:rPr>
          <w:rFonts w:ascii="黑体" w:hAnsi="宋体" w:eastAsia="黑体" w:cs="Times New Roman"/>
          <w:color w:val="000000"/>
          <w:kern w:val="44"/>
          <w:szCs w:val="20"/>
          <w:highlight w:val="magenta"/>
        </w:rPr>
      </w:pPr>
      <w:bookmarkStart w:id="121" w:name="_Toc119492269"/>
      <w:bookmarkStart w:id="122" w:name="_Toc119491225"/>
      <w:r>
        <w:rPr>
          <w:rFonts w:hint="eastAsia" w:ascii="黑体" w:hAnsi="宋体" w:eastAsia="黑体" w:cs="Times New Roman"/>
          <w:color w:val="000000"/>
          <w:kern w:val="44"/>
          <w:szCs w:val="20"/>
        </w:rPr>
        <w:t>6.5 供电电源</w:t>
      </w:r>
      <w:bookmarkEnd w:id="121"/>
      <w:bookmarkEnd w:id="122"/>
      <w:r>
        <w:rPr>
          <w:rFonts w:hint="eastAsia" w:ascii="黑体" w:hAnsi="宋体" w:eastAsia="黑体" w:cs="Times New Roman"/>
          <w:color w:val="000000"/>
          <w:kern w:val="44"/>
          <w:szCs w:val="20"/>
        </w:rPr>
        <w:t xml:space="preserve"> </w:t>
      </w:r>
    </w:p>
    <w:p w14:paraId="7C3E7026">
      <w:pPr>
        <w:ind w:firstLine="420" w:firstLineChars="200"/>
        <w:rPr>
          <w:rFonts w:asciiTheme="minorEastAsia" w:hAnsiTheme="minorEastAsia" w:cstheme="minorEastAsia"/>
          <w:bCs/>
          <w:szCs w:val="21"/>
        </w:rPr>
      </w:pPr>
      <w:r>
        <w:rPr>
          <w:rFonts w:hint="eastAsia" w:ascii="宋体" w:hAnsi="宋体" w:eastAsia="宋体" w:cs="宋体"/>
          <w:szCs w:val="21"/>
        </w:rPr>
        <w:t>SF</w:t>
      </w:r>
      <w:r>
        <w:rPr>
          <w:rFonts w:ascii="宋体" w:hAnsi="宋体" w:eastAsia="宋体" w:cs="宋体"/>
          <w:szCs w:val="21"/>
          <w:vertAlign w:val="subscript"/>
        </w:rPr>
        <w:t>6</w:t>
      </w:r>
      <w:r>
        <w:rPr>
          <w:rFonts w:hint="eastAsia" w:asciiTheme="minorEastAsia" w:hAnsiTheme="minorEastAsia" w:cstheme="minorEastAsia"/>
          <w:bCs/>
          <w:szCs w:val="21"/>
        </w:rPr>
        <w:t>气体全绝缘环网开关柜自动化成套设备供电电源应满足</w:t>
      </w:r>
      <w:r>
        <w:rPr>
          <w:rFonts w:hint="eastAsia" w:ascii="宋体" w:hAnsi="宋体" w:eastAsia="宋体" w:cs="宋体"/>
          <w:szCs w:val="21"/>
        </w:rPr>
        <w:t>DL/T 721</w:t>
      </w:r>
      <w:r>
        <w:rPr>
          <w:rFonts w:hint="eastAsia" w:ascii="宋体" w:hAnsi="宋体" w:eastAsia="宋体" w:cs="宋体"/>
          <w:bCs/>
          <w:szCs w:val="21"/>
        </w:rPr>
        <w:t>中</w:t>
      </w:r>
      <w:r>
        <w:rPr>
          <w:rFonts w:hint="eastAsia" w:ascii="宋体" w:hAnsi="宋体" w:eastAsia="宋体" w:cs="宋体"/>
          <w:szCs w:val="21"/>
        </w:rPr>
        <w:t>4.2.1</w:t>
      </w:r>
      <w:r>
        <w:rPr>
          <w:rFonts w:hint="eastAsia" w:asciiTheme="minorEastAsia" w:hAnsiTheme="minorEastAsia" w:cstheme="minorEastAsia"/>
          <w:bCs/>
          <w:szCs w:val="21"/>
        </w:rPr>
        <w:t>的要求。</w:t>
      </w:r>
    </w:p>
    <w:p w14:paraId="450D75C2">
      <w:pPr>
        <w:rPr>
          <w:rFonts w:asciiTheme="minorEastAsia" w:hAnsiTheme="minorEastAsia" w:cstheme="minorEastAsia"/>
          <w:bCs/>
          <w:szCs w:val="21"/>
        </w:rPr>
      </w:pPr>
      <w:r>
        <w:rPr>
          <w:rFonts w:hint="eastAsia" w:ascii="Times New Roman" w:hAnsi="Times New Roman"/>
          <w:b/>
          <w:szCs w:val="21"/>
        </w:rPr>
        <w:t>6.5.1</w:t>
      </w:r>
      <w:r>
        <w:rPr>
          <w:rFonts w:hint="eastAsia" w:asciiTheme="minorEastAsia" w:hAnsiTheme="minorEastAsia" w:cstheme="minorEastAsia"/>
          <w:bCs/>
          <w:szCs w:val="21"/>
        </w:rPr>
        <w:t>供电电源采用交流</w:t>
      </w:r>
      <w:r>
        <w:rPr>
          <w:rFonts w:hint="eastAsia" w:ascii="宋体" w:hAnsi="宋体" w:eastAsia="宋体" w:cs="宋体"/>
          <w:szCs w:val="21"/>
        </w:rPr>
        <w:t>220V</w:t>
      </w:r>
      <w:r>
        <w:rPr>
          <w:rFonts w:hint="eastAsia" w:asciiTheme="minorEastAsia" w:hAnsiTheme="minorEastAsia" w:cstheme="minorEastAsia"/>
          <w:bCs/>
          <w:szCs w:val="21"/>
        </w:rPr>
        <w:t>供电或电压互感器供电方式时，应由电源模块提供环网箱工作电源。</w:t>
      </w:r>
    </w:p>
    <w:p w14:paraId="7061B6B1">
      <w:pPr>
        <w:rPr>
          <w:rFonts w:asciiTheme="minorEastAsia" w:hAnsiTheme="minorEastAsia" w:cstheme="minorEastAsia"/>
          <w:bCs/>
          <w:szCs w:val="21"/>
        </w:rPr>
      </w:pPr>
      <w:r>
        <w:rPr>
          <w:rFonts w:hint="eastAsia" w:ascii="Times New Roman" w:hAnsi="Times New Roman"/>
          <w:b/>
          <w:szCs w:val="21"/>
        </w:rPr>
        <w:t>6.5.2</w:t>
      </w:r>
      <w:r>
        <w:rPr>
          <w:rFonts w:hint="eastAsia" w:asciiTheme="minorEastAsia" w:hAnsiTheme="minorEastAsia" w:cstheme="minorEastAsia"/>
          <w:bCs/>
          <w:szCs w:val="21"/>
        </w:rPr>
        <w:t>电源模块与综合测控装置放置同一空间间隔内。</w:t>
      </w:r>
    </w:p>
    <w:p w14:paraId="3C7CD8A0">
      <w:pPr>
        <w:rPr>
          <w:rFonts w:asciiTheme="minorEastAsia" w:hAnsiTheme="minorEastAsia" w:cstheme="minorEastAsia"/>
          <w:bCs/>
          <w:szCs w:val="21"/>
        </w:rPr>
      </w:pPr>
      <w:r>
        <w:rPr>
          <w:rFonts w:hint="eastAsia" w:ascii="Times New Roman" w:hAnsi="Times New Roman"/>
          <w:b/>
          <w:szCs w:val="21"/>
        </w:rPr>
        <w:t>6.5.3</w:t>
      </w:r>
      <w:r>
        <w:rPr>
          <w:rFonts w:hint="eastAsia" w:asciiTheme="minorEastAsia" w:hAnsiTheme="minorEastAsia" w:cstheme="minorEastAsia"/>
          <w:bCs/>
          <w:szCs w:val="21"/>
        </w:rPr>
        <w:t>电源模块应至少支持供电电源和后备电源作为输入电源；当主供电源供电不足或消失时，电源模块应能给出告警信号并自动无缝切换到后备电源供电；</w:t>
      </w:r>
    </w:p>
    <w:p w14:paraId="1A4B1CEA">
      <w:pPr>
        <w:rPr>
          <w:rFonts w:ascii="宋体" w:hAnsi="宋体" w:eastAsia="宋体" w:cs="宋体"/>
          <w:b w:val="0"/>
          <w:bCs/>
          <w:color w:val="auto"/>
          <w:kern w:val="0"/>
          <w:szCs w:val="21"/>
        </w:rPr>
      </w:pPr>
      <w:r>
        <w:rPr>
          <w:rFonts w:hint="eastAsia" w:ascii="Times New Roman" w:hAnsi="Times New Roman"/>
          <w:b/>
          <w:szCs w:val="21"/>
        </w:rPr>
        <w:t>6.5.4</w:t>
      </w:r>
      <w:r>
        <w:rPr>
          <w:rFonts w:hint="eastAsia" w:asciiTheme="minorEastAsia" w:hAnsiTheme="minorEastAsia" w:cstheme="minorEastAsia"/>
          <w:b w:val="0"/>
          <w:bCs/>
          <w:color w:val="auto"/>
          <w:szCs w:val="21"/>
        </w:rPr>
        <w:t>电源模块功率不小于</w:t>
      </w:r>
      <w:r>
        <w:rPr>
          <w:rFonts w:hint="eastAsia" w:ascii="宋体" w:hAnsi="宋体" w:eastAsia="宋体" w:cs="宋体"/>
          <w:b w:val="0"/>
          <w:bCs/>
          <w:color w:val="auto"/>
          <w:szCs w:val="21"/>
        </w:rPr>
        <w:t>500W，额定输入电压交流为AC220V，直流为DC48V，配套5个装置电源、1个通讯电源、1个操作电源等单独输出端子，并相应配套单独空开。</w:t>
      </w:r>
    </w:p>
    <w:p w14:paraId="0849CBFE">
      <w:pPr>
        <w:rPr>
          <w:rFonts w:asciiTheme="minorEastAsia" w:hAnsiTheme="minorEastAsia" w:cstheme="minorEastAsia"/>
          <w:b w:val="0"/>
          <w:bCs/>
          <w:color w:val="auto"/>
          <w:szCs w:val="21"/>
        </w:rPr>
      </w:pPr>
      <w:r>
        <w:rPr>
          <w:rFonts w:hint="eastAsia" w:ascii="Times New Roman" w:hAnsi="Times New Roman"/>
          <w:b/>
          <w:szCs w:val="21"/>
        </w:rPr>
        <w:t>6.5.5</w:t>
      </w:r>
      <w:r>
        <w:rPr>
          <w:rFonts w:hint="eastAsia" w:asciiTheme="minorEastAsia" w:hAnsiTheme="minorEastAsia" w:cstheme="minorEastAsia"/>
          <w:b w:val="0"/>
          <w:bCs/>
          <w:color w:val="auto"/>
          <w:szCs w:val="21"/>
        </w:rPr>
        <w:t>电源模块应至少具备两路输出电源，其中一路为48V直流输出，提供控制设备工作电源，提供通信设备工作电源。另一路为操作电源，可根据操作机构类型选择输出电压等级，为开关提供操作和储能电源。输出电源技术参数指标应遵循</w:t>
      </w:r>
      <w:r>
        <w:rPr>
          <w:rFonts w:hint="eastAsia" w:ascii="宋体" w:hAnsi="宋体" w:eastAsia="宋体" w:cs="宋体"/>
          <w:b w:val="0"/>
          <w:bCs/>
          <w:color w:val="auto"/>
          <w:szCs w:val="21"/>
        </w:rPr>
        <w:t>DL/T 721-2013中4.2.3的规定。</w:t>
      </w:r>
    </w:p>
    <w:p w14:paraId="7600C3EE">
      <w:pPr>
        <w:rPr>
          <w:rFonts w:asciiTheme="minorEastAsia" w:hAnsiTheme="minorEastAsia" w:cstheme="minorEastAsia"/>
          <w:b w:val="0"/>
          <w:bCs/>
          <w:color w:val="auto"/>
          <w:szCs w:val="21"/>
        </w:rPr>
      </w:pPr>
      <w:r>
        <w:rPr>
          <w:rFonts w:hint="eastAsia" w:ascii="Times New Roman" w:hAnsi="Times New Roman"/>
          <w:b/>
          <w:szCs w:val="21"/>
        </w:rPr>
        <w:t>6.5.6</w:t>
      </w:r>
      <w:r>
        <w:rPr>
          <w:rFonts w:hint="eastAsia" w:asciiTheme="minorEastAsia" w:hAnsiTheme="minorEastAsia" w:cstheme="minorEastAsia"/>
          <w:b w:val="0"/>
          <w:bCs/>
          <w:color w:val="auto"/>
          <w:szCs w:val="21"/>
        </w:rPr>
        <w:t>电源模块具备宽频输入范围，可根据现场实际需求适应±</w:t>
      </w:r>
      <w:r>
        <w:rPr>
          <w:rFonts w:hint="eastAsia" w:ascii="Times New Roman" w:hAnsi="Times New Roman" w:cs="Times New Roman"/>
          <w:b w:val="0"/>
          <w:bCs/>
          <w:color w:val="auto"/>
          <w:szCs w:val="21"/>
        </w:rPr>
        <w:t>50%</w:t>
      </w:r>
      <w:r>
        <w:rPr>
          <w:rFonts w:hint="eastAsia" w:asciiTheme="minorEastAsia" w:hAnsiTheme="minorEastAsia" w:cstheme="minorEastAsia"/>
          <w:b w:val="0"/>
          <w:bCs/>
          <w:color w:val="auto"/>
          <w:szCs w:val="21"/>
        </w:rPr>
        <w:t>的输入电压范围。</w:t>
      </w:r>
    </w:p>
    <w:p w14:paraId="6711A230">
      <w:pPr>
        <w:rPr>
          <w:rFonts w:asciiTheme="minorEastAsia" w:hAnsiTheme="minorEastAsia" w:cstheme="minorEastAsia"/>
          <w:b w:val="0"/>
          <w:bCs/>
          <w:color w:val="auto"/>
          <w:szCs w:val="21"/>
        </w:rPr>
      </w:pPr>
      <w:r>
        <w:rPr>
          <w:rFonts w:hint="eastAsia" w:ascii="Times New Roman" w:hAnsi="Times New Roman"/>
          <w:b/>
          <w:szCs w:val="21"/>
        </w:rPr>
        <w:t>6.5.7</w:t>
      </w:r>
      <w:r>
        <w:rPr>
          <w:rFonts w:hint="eastAsia" w:asciiTheme="minorEastAsia" w:hAnsiTheme="minorEastAsia" w:cstheme="minorEastAsia"/>
          <w:b w:val="0"/>
          <w:bCs/>
          <w:color w:val="auto"/>
          <w:szCs w:val="21"/>
        </w:rPr>
        <w:t>电源模块具有过压、过流保护和自启动功能，交流输入有状态指示灯。</w:t>
      </w:r>
    </w:p>
    <w:p w14:paraId="4D20D092">
      <w:pPr>
        <w:rPr>
          <w:rFonts w:asciiTheme="minorEastAsia" w:hAnsiTheme="minorEastAsia" w:cstheme="minorEastAsia"/>
          <w:b w:val="0"/>
          <w:bCs/>
          <w:color w:val="auto"/>
          <w:szCs w:val="21"/>
        </w:rPr>
      </w:pPr>
      <w:r>
        <w:rPr>
          <w:rFonts w:hint="eastAsia" w:ascii="Times New Roman" w:hAnsi="Times New Roman"/>
          <w:b/>
          <w:szCs w:val="21"/>
        </w:rPr>
        <w:t>6.5.8</w:t>
      </w:r>
      <w:r>
        <w:rPr>
          <w:rFonts w:hint="eastAsia" w:asciiTheme="minorEastAsia" w:hAnsiTheme="minorEastAsia" w:cstheme="minorEastAsia"/>
          <w:b w:val="0"/>
          <w:bCs/>
          <w:color w:val="auto"/>
          <w:szCs w:val="21"/>
        </w:rPr>
        <w:t>电源模块应能实现对供电电源的状态进行监视和管理，具备低压告警、内阻异常告警、欠压切除、过放、防反接等保护功能，能够监测电池的电压、电流、内阻、温度、电量等，并能将电源供电状况以遥信方式或数据通信形式上传到主站系统。</w:t>
      </w:r>
    </w:p>
    <w:p w14:paraId="2F7BDAA6">
      <w:pPr>
        <w:rPr>
          <w:rFonts w:asciiTheme="minorEastAsia" w:hAnsiTheme="minorEastAsia" w:cstheme="minorEastAsia"/>
          <w:b w:val="0"/>
          <w:bCs/>
          <w:color w:val="auto"/>
          <w:szCs w:val="21"/>
        </w:rPr>
      </w:pPr>
      <w:r>
        <w:rPr>
          <w:rFonts w:hint="eastAsia" w:ascii="Times New Roman" w:hAnsi="Times New Roman"/>
          <w:b/>
          <w:szCs w:val="21"/>
        </w:rPr>
        <w:t>6.5.9</w:t>
      </w:r>
      <w:r>
        <w:rPr>
          <w:rFonts w:hint="eastAsia" w:asciiTheme="minorEastAsia" w:hAnsiTheme="minorEastAsia" w:cstheme="minorEastAsia"/>
          <w:b w:val="0"/>
          <w:bCs/>
          <w:color w:val="auto"/>
          <w:szCs w:val="21"/>
        </w:rPr>
        <w:t>具有智能电源管理功能，应具备电池活化管理功能，能够自动、就地手动、远方遥控实现对蓄电池的充放电，且充放电间隔时间可进行设置。</w:t>
      </w:r>
    </w:p>
    <w:p w14:paraId="5AD1E20B">
      <w:pPr>
        <w:rPr>
          <w:rFonts w:asciiTheme="minorEastAsia" w:hAnsiTheme="minorEastAsia" w:cstheme="minorEastAsia"/>
          <w:b w:val="0"/>
          <w:bCs/>
          <w:color w:val="auto"/>
          <w:szCs w:val="21"/>
        </w:rPr>
      </w:pPr>
      <w:r>
        <w:rPr>
          <w:rFonts w:hint="eastAsia" w:ascii="Times New Roman" w:hAnsi="Times New Roman"/>
          <w:b/>
          <w:szCs w:val="21"/>
        </w:rPr>
        <w:t>6.5.10</w:t>
      </w:r>
      <w:r>
        <w:rPr>
          <w:rFonts w:hint="eastAsia" w:asciiTheme="minorEastAsia" w:hAnsiTheme="minorEastAsia" w:cstheme="minorEastAsia"/>
          <w:b w:val="0"/>
          <w:bCs/>
          <w:color w:val="auto"/>
          <w:szCs w:val="21"/>
        </w:rPr>
        <w:t>供电电源和后备电源独立供电时，应同时满足控制和辅助设备、通信设备正常运行及对开关的正常操作；</w:t>
      </w:r>
    </w:p>
    <w:p w14:paraId="0BF7D4A4">
      <w:pPr>
        <w:rPr>
          <w:rFonts w:ascii="宋体" w:hAnsi="宋体" w:eastAsia="宋体" w:cs="宋体"/>
          <w:b w:val="0"/>
          <w:bCs/>
          <w:color w:val="auto"/>
          <w:szCs w:val="21"/>
        </w:rPr>
      </w:pPr>
      <w:r>
        <w:rPr>
          <w:rFonts w:hint="eastAsia" w:ascii="Times New Roman" w:hAnsi="Times New Roman"/>
          <w:b/>
          <w:szCs w:val="21"/>
        </w:rPr>
        <w:t>6.5.11</w:t>
      </w:r>
      <w:r>
        <w:rPr>
          <w:rFonts w:hint="eastAsia" w:asciiTheme="minorEastAsia" w:hAnsiTheme="minorEastAsia" w:cstheme="minorEastAsia"/>
          <w:b w:val="0"/>
          <w:bCs/>
          <w:color w:val="auto"/>
          <w:szCs w:val="21"/>
        </w:rPr>
        <w:t>电源模块输入电源之间、输出电源之间、输入电源和输出电源之间，绝缘性能应满足</w:t>
      </w:r>
      <w:r>
        <w:rPr>
          <w:rFonts w:hint="eastAsia" w:ascii="宋体" w:hAnsi="宋体" w:eastAsia="宋体" w:cs="宋体"/>
          <w:b w:val="0"/>
          <w:bCs/>
          <w:color w:val="auto"/>
          <w:szCs w:val="21"/>
        </w:rPr>
        <w:t>DL/T 721-2013中4.6的要求；</w:t>
      </w:r>
    </w:p>
    <w:p w14:paraId="6010820A">
      <w:pPr>
        <w:rPr>
          <w:rFonts w:ascii="宋体" w:hAnsi="宋体" w:eastAsia="宋体" w:cs="宋体"/>
          <w:b w:val="0"/>
          <w:bCs/>
          <w:color w:val="auto"/>
          <w:szCs w:val="21"/>
        </w:rPr>
      </w:pPr>
      <w:r>
        <w:rPr>
          <w:rFonts w:hint="eastAsia" w:ascii="Times New Roman" w:hAnsi="Times New Roman"/>
          <w:b/>
          <w:szCs w:val="21"/>
        </w:rPr>
        <w:t>6.5.12</w:t>
      </w:r>
      <w:r>
        <w:rPr>
          <w:rFonts w:hint="eastAsia" w:asciiTheme="minorEastAsia" w:hAnsiTheme="minorEastAsia" w:cstheme="minorEastAsia"/>
          <w:b w:val="0"/>
          <w:bCs/>
          <w:color w:val="auto"/>
          <w:szCs w:val="21"/>
        </w:rPr>
        <w:t>配套无线公网/专网</w:t>
      </w:r>
      <w:r>
        <w:rPr>
          <w:rFonts w:hint="eastAsia" w:ascii="宋体" w:hAnsi="宋体" w:eastAsia="宋体" w:cs="宋体"/>
          <w:b w:val="0"/>
          <w:bCs/>
          <w:color w:val="auto"/>
          <w:szCs w:val="21"/>
        </w:rPr>
        <w:t>通信设备时，工作电源通信设备稳态负载能力宜不小于6W，暂态负载能力宜不小于10W，持续时间≥50ms；</w:t>
      </w:r>
    </w:p>
    <w:p w14:paraId="1B5B980D">
      <w:pPr>
        <w:jc w:val="left"/>
        <w:rPr>
          <w:rFonts w:ascii="宋体" w:hAnsi="宋体" w:eastAsia="宋体" w:cs="宋体"/>
          <w:b w:val="0"/>
          <w:bCs/>
          <w:color w:val="auto"/>
          <w:szCs w:val="21"/>
        </w:rPr>
      </w:pPr>
      <w:r>
        <w:rPr>
          <w:rFonts w:hint="eastAsia" w:ascii="Times New Roman" w:hAnsi="Times New Roman"/>
          <w:b/>
          <w:szCs w:val="21"/>
        </w:rPr>
        <w:t>6.5.13</w:t>
      </w:r>
      <w:r>
        <w:rPr>
          <w:rFonts w:hint="eastAsia" w:asciiTheme="minorEastAsia" w:hAnsiTheme="minorEastAsia" w:cstheme="minorEastAsia"/>
          <w:b w:val="0"/>
          <w:bCs/>
          <w:color w:val="auto"/>
          <w:szCs w:val="21"/>
        </w:rPr>
        <w:t>配套xPON或者其他</w:t>
      </w:r>
      <w:r>
        <w:rPr>
          <w:rFonts w:hint="eastAsia" w:ascii="宋体" w:hAnsi="宋体" w:eastAsia="宋体" w:cs="宋体"/>
          <w:b w:val="0"/>
          <w:bCs/>
          <w:color w:val="auto"/>
          <w:szCs w:val="21"/>
        </w:rPr>
        <w:t>通信设备时。工作电源通信设备稳态负载能力宜不小于15W，暂态负载能力宜不小于20W，持续时间≥50ms</w:t>
      </w:r>
    </w:p>
    <w:p w14:paraId="33F3195F">
      <w:pPr>
        <w:jc w:val="left"/>
        <w:rPr>
          <w:rFonts w:ascii="宋体" w:hAnsi="宋体" w:eastAsia="宋体" w:cs="宋体"/>
          <w:b w:val="0"/>
          <w:bCs/>
          <w:color w:val="auto"/>
          <w:szCs w:val="21"/>
        </w:rPr>
      </w:pPr>
      <w:r>
        <w:rPr>
          <w:rFonts w:hint="eastAsia" w:ascii="Times New Roman" w:hAnsi="Times New Roman"/>
          <w:b/>
          <w:szCs w:val="21"/>
        </w:rPr>
        <w:t>6.5.14</w:t>
      </w:r>
      <w:r>
        <w:rPr>
          <w:rFonts w:hint="eastAsia" w:asciiTheme="minorEastAsia" w:hAnsiTheme="minorEastAsia" w:cstheme="minorEastAsia"/>
          <w:b w:val="0"/>
          <w:bCs/>
          <w:color w:val="auto"/>
          <w:szCs w:val="21"/>
        </w:rPr>
        <w:t>蓄电池组采用铅酸蓄电池或锂电池。蓄电池组容量不小于</w:t>
      </w:r>
      <w:r>
        <w:rPr>
          <w:rFonts w:hint="eastAsia" w:ascii="宋体" w:hAnsi="宋体" w:eastAsia="宋体" w:cs="宋体"/>
          <w:b w:val="0"/>
          <w:bCs/>
          <w:color w:val="auto"/>
          <w:szCs w:val="21"/>
        </w:rPr>
        <w:t>38Ah，输出电源DC48V与电源模块直流进线电源额定电压一致。</w:t>
      </w:r>
    </w:p>
    <w:p w14:paraId="216CD5A5">
      <w:pPr>
        <w:pStyle w:val="5"/>
        <w:spacing w:before="0" w:after="0" w:line="360" w:lineRule="auto"/>
        <w:rPr>
          <w:rFonts w:ascii="黑体" w:hAnsi="黑体"/>
          <w:b w:val="0"/>
          <w:bCs/>
          <w:color w:val="auto"/>
          <w:sz w:val="21"/>
          <w:szCs w:val="21"/>
        </w:rPr>
      </w:pPr>
      <w:bookmarkStart w:id="123" w:name="_Toc119491226"/>
      <w:bookmarkStart w:id="124" w:name="_Toc119492270"/>
      <w:bookmarkStart w:id="125" w:name="_Toc119489025"/>
      <w:r>
        <w:rPr>
          <w:rFonts w:hint="eastAsia" w:ascii="黑体" w:hAnsi="黑体"/>
          <w:b w:val="0"/>
          <w:bCs/>
          <w:color w:val="auto"/>
          <w:sz w:val="21"/>
          <w:szCs w:val="21"/>
        </w:rPr>
        <w:t>7 试验要求及方法</w:t>
      </w:r>
    </w:p>
    <w:p w14:paraId="23C75100">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7.1 结构与配置检查</w:t>
      </w:r>
    </w:p>
    <w:p w14:paraId="2C090D76">
      <w:pPr>
        <w:tabs>
          <w:tab w:val="left" w:pos="0"/>
        </w:tabs>
        <w:ind w:firstLine="420" w:firstLineChars="200"/>
        <w:jc w:val="left"/>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结构与配置检查符合6.2与6.3条的规定。</w:t>
      </w:r>
    </w:p>
    <w:p w14:paraId="6C772F20">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7.2 外观检查</w:t>
      </w:r>
    </w:p>
    <w:p w14:paraId="722E7F59">
      <w:pPr>
        <w:ind w:firstLine="420" w:firstLineChars="200"/>
        <w:jc w:val="left"/>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外观检查的要求符合6.2条的规定。</w:t>
      </w:r>
    </w:p>
    <w:p w14:paraId="0183DD90">
      <w:pPr>
        <w:tabs>
          <w:tab w:val="left" w:pos="0"/>
        </w:tabs>
        <w:ind w:firstLine="420" w:firstLineChars="200"/>
        <w:jc w:val="left"/>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外观检查方法：通过目测、卷尺、游标卡尺、色卡等工具按照要求进行检查。</w:t>
      </w:r>
    </w:p>
    <w:p w14:paraId="28C77663">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7.3 绝缘电阻试验</w:t>
      </w:r>
    </w:p>
    <w:p w14:paraId="006F53C4">
      <w:pPr>
        <w:ind w:firstLine="420" w:firstLineChars="200"/>
        <w:jc w:val="left"/>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绝缘电阻试验参照GB 50150中的规定。</w:t>
      </w:r>
    </w:p>
    <w:p w14:paraId="1E287C2A">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7.4 工频电压试验</w:t>
      </w:r>
    </w:p>
    <w:p w14:paraId="6CF1AA41">
      <w:pPr>
        <w:jc w:val="center"/>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表7-1工频电压试验要求</w:t>
      </w:r>
    </w:p>
    <w:tbl>
      <w:tblPr>
        <w:tblStyle w:val="26"/>
        <w:tblW w:w="835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0"/>
        <w:gridCol w:w="1377"/>
        <w:gridCol w:w="1232"/>
        <w:gridCol w:w="696"/>
        <w:gridCol w:w="1232"/>
        <w:gridCol w:w="1318"/>
        <w:gridCol w:w="1864"/>
      </w:tblGrid>
      <w:tr w14:paraId="2A7438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vMerge w:val="restart"/>
          </w:tcPr>
          <w:p w14:paraId="16AB0889">
            <w:pPr>
              <w:spacing w:line="480" w:lineRule="auto"/>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序号</w:t>
            </w:r>
          </w:p>
        </w:tc>
        <w:tc>
          <w:tcPr>
            <w:tcW w:w="2609" w:type="dxa"/>
            <w:gridSpan w:val="2"/>
            <w:vMerge w:val="restart"/>
          </w:tcPr>
          <w:p w14:paraId="0D750F8D">
            <w:pPr>
              <w:spacing w:line="480" w:lineRule="auto"/>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名称</w:t>
            </w:r>
          </w:p>
        </w:tc>
        <w:tc>
          <w:tcPr>
            <w:tcW w:w="696" w:type="dxa"/>
            <w:vMerge w:val="restart"/>
          </w:tcPr>
          <w:p w14:paraId="5F338B03">
            <w:pPr>
              <w:spacing w:line="480" w:lineRule="auto"/>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单位</w:t>
            </w:r>
          </w:p>
        </w:tc>
        <w:tc>
          <w:tcPr>
            <w:tcW w:w="4414" w:type="dxa"/>
            <w:gridSpan w:val="3"/>
          </w:tcPr>
          <w:p w14:paraId="496394B5">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技术要求</w:t>
            </w:r>
          </w:p>
        </w:tc>
      </w:tr>
      <w:tr w14:paraId="4FC940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640" w:type="dxa"/>
            <w:vMerge w:val="continue"/>
          </w:tcPr>
          <w:p w14:paraId="7E144490">
            <w:pPr>
              <w:jc w:val="left"/>
              <w:rPr>
                <w:rFonts w:ascii="宋体" w:hAnsi="宋体" w:eastAsia="宋体" w:cs="宋体"/>
                <w:b w:val="0"/>
                <w:bCs/>
                <w:color w:val="auto"/>
                <w:kern w:val="0"/>
                <w:sz w:val="18"/>
                <w:szCs w:val="18"/>
              </w:rPr>
            </w:pPr>
          </w:p>
        </w:tc>
        <w:tc>
          <w:tcPr>
            <w:tcW w:w="2609" w:type="dxa"/>
            <w:gridSpan w:val="2"/>
            <w:vMerge w:val="continue"/>
          </w:tcPr>
          <w:p w14:paraId="3BE4C851">
            <w:pPr>
              <w:jc w:val="center"/>
              <w:rPr>
                <w:rFonts w:ascii="宋体" w:hAnsi="宋体" w:eastAsia="宋体" w:cs="宋体"/>
                <w:b w:val="0"/>
                <w:bCs/>
                <w:color w:val="auto"/>
                <w:kern w:val="0"/>
                <w:sz w:val="18"/>
                <w:szCs w:val="18"/>
              </w:rPr>
            </w:pPr>
          </w:p>
        </w:tc>
        <w:tc>
          <w:tcPr>
            <w:tcW w:w="696" w:type="dxa"/>
            <w:vMerge w:val="continue"/>
          </w:tcPr>
          <w:p w14:paraId="08E5FBA1">
            <w:pPr>
              <w:jc w:val="left"/>
              <w:rPr>
                <w:rFonts w:ascii="宋体" w:hAnsi="宋体" w:eastAsia="宋体" w:cs="宋体"/>
                <w:b w:val="0"/>
                <w:bCs/>
                <w:color w:val="auto"/>
                <w:kern w:val="0"/>
                <w:sz w:val="18"/>
                <w:szCs w:val="18"/>
              </w:rPr>
            </w:pPr>
          </w:p>
        </w:tc>
        <w:tc>
          <w:tcPr>
            <w:tcW w:w="1232" w:type="dxa"/>
          </w:tcPr>
          <w:p w14:paraId="2DF1344B">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断路器单元</w:t>
            </w:r>
          </w:p>
        </w:tc>
        <w:tc>
          <w:tcPr>
            <w:tcW w:w="1318" w:type="dxa"/>
          </w:tcPr>
          <w:p w14:paraId="142DFC34">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负荷开关单元</w:t>
            </w:r>
          </w:p>
        </w:tc>
        <w:tc>
          <w:tcPr>
            <w:tcW w:w="1864" w:type="dxa"/>
          </w:tcPr>
          <w:p w14:paraId="75A93ED2">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熔断器组合电器单元</w:t>
            </w:r>
          </w:p>
        </w:tc>
      </w:tr>
      <w:tr w14:paraId="59637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Pr>
          <w:p w14:paraId="6CA031B7">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1</w:t>
            </w:r>
          </w:p>
        </w:tc>
        <w:tc>
          <w:tcPr>
            <w:tcW w:w="1377" w:type="dxa"/>
            <w:vMerge w:val="restart"/>
          </w:tcPr>
          <w:p w14:paraId="48BD8CBA">
            <w:pPr>
              <w:adjustRightInd w:val="0"/>
              <w:jc w:val="center"/>
              <w:rPr>
                <w:b w:val="0"/>
                <w:bCs/>
                <w:color w:val="auto"/>
                <w:kern w:val="0"/>
                <w:sz w:val="18"/>
                <w:szCs w:val="18"/>
              </w:rPr>
            </w:pPr>
            <w:r>
              <w:rPr>
                <w:rFonts w:hint="eastAsia" w:ascii="宋体" w:hAnsi="宋体" w:eastAsia="宋体" w:cs="宋体"/>
                <w:b w:val="0"/>
                <w:bCs/>
                <w:color w:val="auto"/>
                <w:kern w:val="0"/>
                <w:sz w:val="18"/>
                <w:szCs w:val="18"/>
              </w:rPr>
              <w:t>1min</w:t>
            </w:r>
            <w:r>
              <w:rPr>
                <w:b w:val="0"/>
                <w:bCs/>
                <w:color w:val="auto"/>
                <w:kern w:val="0"/>
                <w:sz w:val="18"/>
                <w:szCs w:val="18"/>
              </w:rPr>
              <w:t>工频耐受电压</w:t>
            </w:r>
          </w:p>
          <w:p w14:paraId="239D8473">
            <w:pPr>
              <w:jc w:val="center"/>
              <w:rPr>
                <w:rFonts w:ascii="宋体" w:hAnsi="宋体" w:eastAsia="宋体" w:cs="宋体"/>
                <w:b w:val="0"/>
                <w:bCs/>
                <w:color w:val="auto"/>
                <w:kern w:val="0"/>
                <w:sz w:val="18"/>
                <w:szCs w:val="18"/>
              </w:rPr>
            </w:pPr>
            <w:r>
              <w:rPr>
                <w:b w:val="0"/>
                <w:bCs/>
                <w:color w:val="auto"/>
                <w:kern w:val="0"/>
                <w:sz w:val="18"/>
                <w:szCs w:val="18"/>
              </w:rPr>
              <w:t>（有效值）</w:t>
            </w:r>
          </w:p>
        </w:tc>
        <w:tc>
          <w:tcPr>
            <w:tcW w:w="1232" w:type="dxa"/>
            <w:vAlign w:val="center"/>
          </w:tcPr>
          <w:p w14:paraId="020B79AB">
            <w:pPr>
              <w:adjustRightInd w:val="0"/>
              <w:jc w:val="center"/>
              <w:rPr>
                <w:rFonts w:ascii="宋体" w:hAnsi="宋体" w:eastAsia="宋体" w:cs="宋体"/>
                <w:b w:val="0"/>
                <w:bCs/>
                <w:color w:val="auto"/>
                <w:kern w:val="0"/>
                <w:sz w:val="18"/>
                <w:szCs w:val="18"/>
              </w:rPr>
            </w:pPr>
            <w:r>
              <w:rPr>
                <w:b w:val="0"/>
                <w:bCs/>
                <w:color w:val="auto"/>
                <w:kern w:val="0"/>
                <w:sz w:val="18"/>
                <w:szCs w:val="18"/>
              </w:rPr>
              <w:t>隔离断口</w:t>
            </w:r>
          </w:p>
        </w:tc>
        <w:tc>
          <w:tcPr>
            <w:tcW w:w="696" w:type="dxa"/>
            <w:vAlign w:val="center"/>
          </w:tcPr>
          <w:p w14:paraId="351BD9A5">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232" w:type="dxa"/>
            <w:vAlign w:val="center"/>
          </w:tcPr>
          <w:p w14:paraId="087263D0">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48</w:t>
            </w:r>
          </w:p>
        </w:tc>
        <w:tc>
          <w:tcPr>
            <w:tcW w:w="1318" w:type="dxa"/>
          </w:tcPr>
          <w:p w14:paraId="459E8FCE">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48</w:t>
            </w:r>
          </w:p>
        </w:tc>
        <w:tc>
          <w:tcPr>
            <w:tcW w:w="1864" w:type="dxa"/>
          </w:tcPr>
          <w:p w14:paraId="024AD88F">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48</w:t>
            </w:r>
          </w:p>
        </w:tc>
      </w:tr>
      <w:tr w14:paraId="72EBA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Pr>
          <w:p w14:paraId="2675D560">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2</w:t>
            </w:r>
          </w:p>
        </w:tc>
        <w:tc>
          <w:tcPr>
            <w:tcW w:w="1377" w:type="dxa"/>
            <w:vMerge w:val="continue"/>
          </w:tcPr>
          <w:p w14:paraId="05AFE7CE">
            <w:pPr>
              <w:jc w:val="left"/>
              <w:rPr>
                <w:rFonts w:ascii="宋体" w:hAnsi="宋体" w:eastAsia="宋体" w:cs="宋体"/>
                <w:b w:val="0"/>
                <w:bCs/>
                <w:color w:val="auto"/>
                <w:kern w:val="0"/>
                <w:sz w:val="18"/>
                <w:szCs w:val="18"/>
              </w:rPr>
            </w:pPr>
          </w:p>
        </w:tc>
        <w:tc>
          <w:tcPr>
            <w:tcW w:w="1232" w:type="dxa"/>
            <w:vAlign w:val="center"/>
          </w:tcPr>
          <w:p w14:paraId="4C630B6F">
            <w:pPr>
              <w:adjustRightInd w:val="0"/>
              <w:jc w:val="center"/>
              <w:rPr>
                <w:rFonts w:ascii="宋体" w:hAnsi="宋体" w:eastAsia="宋体" w:cs="宋体"/>
                <w:b w:val="0"/>
                <w:bCs/>
                <w:color w:val="auto"/>
                <w:kern w:val="0"/>
                <w:sz w:val="18"/>
                <w:szCs w:val="18"/>
              </w:rPr>
            </w:pPr>
            <w:r>
              <w:rPr>
                <w:b w:val="0"/>
                <w:bCs/>
                <w:color w:val="auto"/>
                <w:kern w:val="0"/>
                <w:sz w:val="18"/>
                <w:szCs w:val="18"/>
              </w:rPr>
              <w:t>开关断口</w:t>
            </w:r>
          </w:p>
        </w:tc>
        <w:tc>
          <w:tcPr>
            <w:tcW w:w="696" w:type="dxa"/>
            <w:vAlign w:val="center"/>
          </w:tcPr>
          <w:p w14:paraId="1AA9E93A">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232" w:type="dxa"/>
            <w:vAlign w:val="center"/>
          </w:tcPr>
          <w:p w14:paraId="760A468A">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p>
        </w:tc>
        <w:tc>
          <w:tcPr>
            <w:tcW w:w="1318" w:type="dxa"/>
            <w:vAlign w:val="center"/>
          </w:tcPr>
          <w:p w14:paraId="6D1BE755">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r>
              <w:rPr>
                <w:rFonts w:hint="eastAsia" w:ascii="宋体" w:hAnsi="宋体" w:eastAsia="宋体" w:cs="宋体"/>
                <w:b w:val="0"/>
                <w:bCs/>
                <w:color w:val="auto"/>
                <w:kern w:val="0"/>
                <w:sz w:val="18"/>
                <w:szCs w:val="18"/>
                <w:vertAlign w:val="superscript"/>
              </w:rPr>
              <w:t>注</w:t>
            </w:r>
          </w:p>
        </w:tc>
        <w:tc>
          <w:tcPr>
            <w:tcW w:w="1864" w:type="dxa"/>
            <w:vAlign w:val="center"/>
          </w:tcPr>
          <w:p w14:paraId="67E0419A">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r>
              <w:rPr>
                <w:rFonts w:hint="eastAsia" w:ascii="宋体" w:hAnsi="宋体" w:eastAsia="宋体" w:cs="宋体"/>
                <w:b w:val="0"/>
                <w:bCs/>
                <w:color w:val="auto"/>
                <w:kern w:val="0"/>
                <w:sz w:val="18"/>
                <w:szCs w:val="18"/>
                <w:vertAlign w:val="superscript"/>
              </w:rPr>
              <w:t>注</w:t>
            </w:r>
          </w:p>
        </w:tc>
      </w:tr>
      <w:tr w14:paraId="15AF94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0" w:type="dxa"/>
          </w:tcPr>
          <w:p w14:paraId="356C5EA5">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3</w:t>
            </w:r>
          </w:p>
        </w:tc>
        <w:tc>
          <w:tcPr>
            <w:tcW w:w="1377" w:type="dxa"/>
            <w:vMerge w:val="continue"/>
          </w:tcPr>
          <w:p w14:paraId="595B39C7">
            <w:pPr>
              <w:jc w:val="left"/>
              <w:rPr>
                <w:rFonts w:ascii="宋体" w:hAnsi="宋体" w:eastAsia="宋体" w:cs="宋体"/>
                <w:b w:val="0"/>
                <w:bCs/>
                <w:color w:val="auto"/>
                <w:kern w:val="0"/>
                <w:sz w:val="18"/>
                <w:szCs w:val="18"/>
              </w:rPr>
            </w:pPr>
          </w:p>
        </w:tc>
        <w:tc>
          <w:tcPr>
            <w:tcW w:w="1232" w:type="dxa"/>
            <w:vAlign w:val="center"/>
          </w:tcPr>
          <w:p w14:paraId="7A2E8215">
            <w:pPr>
              <w:adjustRightInd w:val="0"/>
              <w:jc w:val="center"/>
              <w:rPr>
                <w:rFonts w:ascii="宋体" w:hAnsi="宋体" w:eastAsia="宋体" w:cs="宋体"/>
                <w:b w:val="0"/>
                <w:bCs/>
                <w:color w:val="auto"/>
                <w:kern w:val="0"/>
                <w:sz w:val="18"/>
                <w:szCs w:val="18"/>
              </w:rPr>
            </w:pPr>
            <w:r>
              <w:rPr>
                <w:b w:val="0"/>
                <w:bCs/>
                <w:color w:val="auto"/>
                <w:kern w:val="0"/>
                <w:sz w:val="18"/>
                <w:szCs w:val="18"/>
              </w:rPr>
              <w:t>相间、相对地</w:t>
            </w:r>
          </w:p>
        </w:tc>
        <w:tc>
          <w:tcPr>
            <w:tcW w:w="696" w:type="dxa"/>
            <w:vAlign w:val="center"/>
          </w:tcPr>
          <w:p w14:paraId="5539F9A6">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232" w:type="dxa"/>
            <w:vAlign w:val="center"/>
          </w:tcPr>
          <w:p w14:paraId="61CBCFC7">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p>
        </w:tc>
        <w:tc>
          <w:tcPr>
            <w:tcW w:w="1318" w:type="dxa"/>
            <w:vAlign w:val="center"/>
          </w:tcPr>
          <w:p w14:paraId="7BD15129">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p>
        </w:tc>
        <w:tc>
          <w:tcPr>
            <w:tcW w:w="1864" w:type="dxa"/>
            <w:vAlign w:val="center"/>
          </w:tcPr>
          <w:p w14:paraId="1D40BC69">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42</w:t>
            </w:r>
          </w:p>
        </w:tc>
      </w:tr>
    </w:tbl>
    <w:p w14:paraId="2656B4CB">
      <w:pPr>
        <w:spacing w:before="156" w:beforeLines="50"/>
        <w:jc w:val="left"/>
        <w:rPr>
          <w:rFonts w:cs="宋体" w:asciiTheme="minorEastAsia" w:hAnsiTheme="minorEastAsia"/>
          <w:b w:val="0"/>
          <w:bCs/>
          <w:color w:val="auto"/>
          <w:kern w:val="0"/>
          <w:szCs w:val="21"/>
        </w:rPr>
      </w:pPr>
      <w:r>
        <w:rPr>
          <w:rFonts w:hint="eastAsia" w:ascii="宋体" w:hAnsi="宋体" w:eastAsia="宋体" w:cs="宋体"/>
          <w:b w:val="0"/>
          <w:bCs/>
          <w:color w:val="auto"/>
          <w:sz w:val="18"/>
          <w:szCs w:val="18"/>
        </w:rPr>
        <w:t>注：当负荷开关单元、熔断器组合电器单元的开关断口与隔离断口为同一断口时，开关断口耐压值应按照隔离断口耐压值。</w:t>
      </w:r>
    </w:p>
    <w:p w14:paraId="06008071">
      <w:pPr>
        <w:ind w:firstLine="442"/>
        <w:jc w:val="left"/>
        <w:rPr>
          <w:b w:val="0"/>
          <w:bCs/>
          <w:color w:val="auto"/>
        </w:rPr>
      </w:pPr>
      <w:r>
        <w:rPr>
          <w:rFonts w:hint="eastAsia" w:cs="宋体" w:asciiTheme="minorEastAsia" w:hAnsiTheme="minorEastAsia"/>
          <w:b w:val="0"/>
          <w:bCs/>
          <w:color w:val="auto"/>
          <w:kern w:val="0"/>
          <w:szCs w:val="21"/>
        </w:rPr>
        <w:t>工频电压试验测试方法参照GB/T 11022中的规定。</w:t>
      </w:r>
    </w:p>
    <w:p w14:paraId="5CF14650">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7.5 局部放电试验</w:t>
      </w:r>
    </w:p>
    <w:p w14:paraId="367CC34B">
      <w:pPr>
        <w:ind w:left="357" w:leftChars="170"/>
        <w:jc w:val="left"/>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成套设备局部放电试验要求：</w:t>
      </w:r>
      <w:r>
        <w:rPr>
          <w:rFonts w:hint="eastAsia" w:ascii="宋体" w:hAnsi="宋体" w:eastAsia="宋体" w:cs="宋体"/>
          <w:b w:val="0"/>
          <w:bCs/>
          <w:color w:val="auto"/>
          <w:szCs w:val="21"/>
        </w:rPr>
        <w:t>断路器/负荷开关单元</w:t>
      </w:r>
      <w:r>
        <w:rPr>
          <w:rFonts w:hint="eastAsia" w:cs="宋体" w:asciiTheme="minorEastAsia" w:hAnsiTheme="minorEastAsia"/>
          <w:b w:val="0"/>
          <w:bCs/>
          <w:color w:val="auto"/>
          <w:kern w:val="0"/>
          <w:szCs w:val="21"/>
        </w:rPr>
        <w:t>局部放电量应≦20pC；</w:t>
      </w:r>
      <w:r>
        <w:rPr>
          <w:rFonts w:hint="eastAsia" w:ascii="宋体" w:hAnsi="宋体" w:eastAsia="宋体" w:cs="宋体"/>
          <w:b w:val="0"/>
          <w:bCs/>
          <w:color w:val="auto"/>
          <w:szCs w:val="21"/>
        </w:rPr>
        <w:t>PT单元</w:t>
      </w:r>
      <w:r>
        <w:rPr>
          <w:rFonts w:hint="eastAsia" w:cs="宋体" w:asciiTheme="minorEastAsia" w:hAnsiTheme="minorEastAsia"/>
          <w:b w:val="0"/>
          <w:bCs/>
          <w:color w:val="auto"/>
          <w:kern w:val="0"/>
          <w:szCs w:val="21"/>
        </w:rPr>
        <w:t>局部放电量应≦80pC。</w:t>
      </w:r>
    </w:p>
    <w:p w14:paraId="3E6D2E4B">
      <w:pPr>
        <w:ind w:left="357" w:leftChars="170"/>
        <w:jc w:val="left"/>
        <w:rPr>
          <w:rFonts w:hint="eastAsia" w:cs="宋体" w:asciiTheme="minorEastAsia" w:hAnsiTheme="minorEastAsia"/>
          <w:b w:val="0"/>
          <w:bCs/>
          <w:color w:val="auto"/>
          <w:kern w:val="0"/>
          <w:szCs w:val="21"/>
        </w:rPr>
      </w:pPr>
      <w:r>
        <w:rPr>
          <w:rFonts w:hint="eastAsia" w:cs="宋体" w:asciiTheme="minorEastAsia" w:hAnsiTheme="minorEastAsia"/>
          <w:b w:val="0"/>
          <w:bCs/>
          <w:color w:val="auto"/>
          <w:kern w:val="0"/>
          <w:szCs w:val="21"/>
        </w:rPr>
        <w:t>成套设备局部放电试验方法参照GB/T 7354中的规定。</w:t>
      </w:r>
    </w:p>
    <w:p w14:paraId="2FDD1C98">
      <w:pPr>
        <w:pStyle w:val="2"/>
      </w:pPr>
    </w:p>
    <w:p w14:paraId="5F528A81">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7.6 雷电冲击试验</w:t>
      </w:r>
    </w:p>
    <w:p w14:paraId="0A6C39A8">
      <w:pPr>
        <w:ind w:firstLine="442"/>
        <w:jc w:val="center"/>
        <w:rPr>
          <w:rFonts w:cs="宋体" w:asciiTheme="minorEastAsia" w:hAnsiTheme="minorEastAsia"/>
          <w:b w:val="0"/>
          <w:bCs/>
          <w:color w:val="auto"/>
          <w:kern w:val="0"/>
          <w:szCs w:val="21"/>
        </w:rPr>
      </w:pPr>
      <w:r>
        <w:rPr>
          <w:rFonts w:hint="eastAsia" w:cs="宋体" w:asciiTheme="minorEastAsia" w:hAnsiTheme="minorEastAsia"/>
          <w:b w:val="0"/>
          <w:bCs/>
          <w:color w:val="auto"/>
          <w:kern w:val="0"/>
          <w:szCs w:val="21"/>
        </w:rPr>
        <w:t>表7-2雷电冲击试验要求</w:t>
      </w:r>
    </w:p>
    <w:tbl>
      <w:tblPr>
        <w:tblStyle w:val="26"/>
        <w:tblW w:w="8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4"/>
        <w:gridCol w:w="1372"/>
        <w:gridCol w:w="1393"/>
        <w:gridCol w:w="621"/>
        <w:gridCol w:w="1168"/>
        <w:gridCol w:w="1393"/>
        <w:gridCol w:w="1864"/>
      </w:tblGrid>
      <w:tr w14:paraId="46BA8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vMerge w:val="restart"/>
          </w:tcPr>
          <w:p w14:paraId="4D25A623">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序号</w:t>
            </w:r>
          </w:p>
        </w:tc>
        <w:tc>
          <w:tcPr>
            <w:tcW w:w="2765" w:type="dxa"/>
            <w:gridSpan w:val="2"/>
            <w:vMerge w:val="restart"/>
          </w:tcPr>
          <w:p w14:paraId="600620A4">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名称</w:t>
            </w:r>
          </w:p>
        </w:tc>
        <w:tc>
          <w:tcPr>
            <w:tcW w:w="621" w:type="dxa"/>
            <w:vMerge w:val="restart"/>
          </w:tcPr>
          <w:p w14:paraId="675BEAC1">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单位</w:t>
            </w:r>
          </w:p>
        </w:tc>
        <w:tc>
          <w:tcPr>
            <w:tcW w:w="4425" w:type="dxa"/>
            <w:gridSpan w:val="3"/>
          </w:tcPr>
          <w:p w14:paraId="4AA96C05">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技术要求</w:t>
            </w:r>
          </w:p>
        </w:tc>
      </w:tr>
      <w:tr w14:paraId="03023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0" w:hRule="atLeast"/>
        </w:trPr>
        <w:tc>
          <w:tcPr>
            <w:tcW w:w="634" w:type="dxa"/>
            <w:vMerge w:val="continue"/>
          </w:tcPr>
          <w:p w14:paraId="595F99F1">
            <w:pPr>
              <w:jc w:val="left"/>
              <w:rPr>
                <w:rFonts w:ascii="宋体" w:hAnsi="宋体" w:eastAsia="宋体" w:cs="宋体"/>
                <w:b w:val="0"/>
                <w:bCs/>
                <w:color w:val="auto"/>
                <w:kern w:val="0"/>
                <w:sz w:val="18"/>
                <w:szCs w:val="18"/>
              </w:rPr>
            </w:pPr>
          </w:p>
        </w:tc>
        <w:tc>
          <w:tcPr>
            <w:tcW w:w="2765" w:type="dxa"/>
            <w:gridSpan w:val="2"/>
            <w:vMerge w:val="continue"/>
          </w:tcPr>
          <w:p w14:paraId="2F8928D1">
            <w:pPr>
              <w:jc w:val="center"/>
              <w:rPr>
                <w:rFonts w:ascii="宋体" w:hAnsi="宋体" w:eastAsia="宋体" w:cs="宋体"/>
                <w:b w:val="0"/>
                <w:bCs/>
                <w:color w:val="auto"/>
                <w:kern w:val="0"/>
                <w:sz w:val="18"/>
                <w:szCs w:val="18"/>
              </w:rPr>
            </w:pPr>
          </w:p>
        </w:tc>
        <w:tc>
          <w:tcPr>
            <w:tcW w:w="621" w:type="dxa"/>
            <w:vMerge w:val="continue"/>
          </w:tcPr>
          <w:p w14:paraId="3FBC20DF">
            <w:pPr>
              <w:jc w:val="left"/>
              <w:rPr>
                <w:rFonts w:ascii="宋体" w:hAnsi="宋体" w:eastAsia="宋体" w:cs="宋体"/>
                <w:b w:val="0"/>
                <w:bCs/>
                <w:color w:val="auto"/>
                <w:kern w:val="0"/>
                <w:sz w:val="18"/>
                <w:szCs w:val="18"/>
              </w:rPr>
            </w:pPr>
          </w:p>
        </w:tc>
        <w:tc>
          <w:tcPr>
            <w:tcW w:w="1168" w:type="dxa"/>
          </w:tcPr>
          <w:p w14:paraId="08CBD574">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断路器单元</w:t>
            </w:r>
          </w:p>
        </w:tc>
        <w:tc>
          <w:tcPr>
            <w:tcW w:w="1393" w:type="dxa"/>
          </w:tcPr>
          <w:p w14:paraId="6868B04F">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负荷开关单元</w:t>
            </w:r>
          </w:p>
        </w:tc>
        <w:tc>
          <w:tcPr>
            <w:tcW w:w="1864" w:type="dxa"/>
          </w:tcPr>
          <w:p w14:paraId="64E9E8AD">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熔断器组合电器单元</w:t>
            </w:r>
          </w:p>
        </w:tc>
      </w:tr>
      <w:tr w14:paraId="3511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Pr>
          <w:p w14:paraId="1341BD1E">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1</w:t>
            </w:r>
          </w:p>
        </w:tc>
        <w:tc>
          <w:tcPr>
            <w:tcW w:w="1372" w:type="dxa"/>
            <w:vMerge w:val="restart"/>
          </w:tcPr>
          <w:p w14:paraId="293633C2">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雷电冲击耐受电压</w:t>
            </w:r>
          </w:p>
          <w:p w14:paraId="5FD2F35A">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（峰值）</w:t>
            </w:r>
          </w:p>
        </w:tc>
        <w:tc>
          <w:tcPr>
            <w:tcW w:w="1393" w:type="dxa"/>
            <w:vAlign w:val="center"/>
          </w:tcPr>
          <w:p w14:paraId="3135DF05">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隔离断口</w:t>
            </w:r>
          </w:p>
        </w:tc>
        <w:tc>
          <w:tcPr>
            <w:tcW w:w="621" w:type="dxa"/>
            <w:vAlign w:val="center"/>
          </w:tcPr>
          <w:p w14:paraId="7338F2A2">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168" w:type="dxa"/>
            <w:vAlign w:val="center"/>
          </w:tcPr>
          <w:p w14:paraId="19C35324">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85</w:t>
            </w:r>
          </w:p>
        </w:tc>
        <w:tc>
          <w:tcPr>
            <w:tcW w:w="1393" w:type="dxa"/>
          </w:tcPr>
          <w:p w14:paraId="1597FF42">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85</w:t>
            </w:r>
          </w:p>
        </w:tc>
        <w:tc>
          <w:tcPr>
            <w:tcW w:w="1864" w:type="dxa"/>
          </w:tcPr>
          <w:p w14:paraId="786A1F67">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85</w:t>
            </w:r>
          </w:p>
        </w:tc>
      </w:tr>
      <w:tr w14:paraId="39C18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Pr>
          <w:p w14:paraId="55591BC4">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2</w:t>
            </w:r>
          </w:p>
        </w:tc>
        <w:tc>
          <w:tcPr>
            <w:tcW w:w="1372" w:type="dxa"/>
            <w:vMerge w:val="continue"/>
          </w:tcPr>
          <w:p w14:paraId="37139F7F">
            <w:pPr>
              <w:jc w:val="left"/>
              <w:rPr>
                <w:rFonts w:ascii="宋体" w:hAnsi="宋体" w:eastAsia="宋体" w:cs="宋体"/>
                <w:b w:val="0"/>
                <w:bCs/>
                <w:color w:val="auto"/>
                <w:kern w:val="0"/>
                <w:sz w:val="18"/>
                <w:szCs w:val="18"/>
              </w:rPr>
            </w:pPr>
          </w:p>
        </w:tc>
        <w:tc>
          <w:tcPr>
            <w:tcW w:w="1393" w:type="dxa"/>
            <w:vAlign w:val="center"/>
          </w:tcPr>
          <w:p w14:paraId="55D447D2">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开关断口</w:t>
            </w:r>
          </w:p>
        </w:tc>
        <w:tc>
          <w:tcPr>
            <w:tcW w:w="621" w:type="dxa"/>
            <w:vAlign w:val="center"/>
          </w:tcPr>
          <w:p w14:paraId="278B21C4">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168" w:type="dxa"/>
            <w:vAlign w:val="center"/>
          </w:tcPr>
          <w:p w14:paraId="7F5394F0">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p>
        </w:tc>
        <w:tc>
          <w:tcPr>
            <w:tcW w:w="1393" w:type="dxa"/>
            <w:vAlign w:val="center"/>
          </w:tcPr>
          <w:p w14:paraId="7D0EF5B0">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r>
              <w:rPr>
                <w:rFonts w:hint="eastAsia" w:ascii="宋体" w:hAnsi="宋体" w:eastAsia="宋体" w:cs="宋体"/>
                <w:b w:val="0"/>
                <w:bCs/>
                <w:color w:val="auto"/>
                <w:kern w:val="0"/>
                <w:sz w:val="18"/>
                <w:szCs w:val="18"/>
                <w:vertAlign w:val="superscript"/>
              </w:rPr>
              <w:t>注</w:t>
            </w:r>
          </w:p>
        </w:tc>
        <w:tc>
          <w:tcPr>
            <w:tcW w:w="1864" w:type="dxa"/>
            <w:vAlign w:val="center"/>
          </w:tcPr>
          <w:p w14:paraId="0385AAFA">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r>
              <w:rPr>
                <w:rFonts w:hint="eastAsia" w:ascii="宋体" w:hAnsi="宋体" w:eastAsia="宋体" w:cs="宋体"/>
                <w:b w:val="0"/>
                <w:bCs/>
                <w:color w:val="auto"/>
                <w:kern w:val="0"/>
                <w:sz w:val="18"/>
                <w:szCs w:val="18"/>
                <w:vertAlign w:val="superscript"/>
              </w:rPr>
              <w:t>注</w:t>
            </w:r>
          </w:p>
        </w:tc>
      </w:tr>
      <w:tr w14:paraId="371C2F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34" w:type="dxa"/>
          </w:tcPr>
          <w:p w14:paraId="63A948E9">
            <w:pPr>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3</w:t>
            </w:r>
          </w:p>
        </w:tc>
        <w:tc>
          <w:tcPr>
            <w:tcW w:w="1372" w:type="dxa"/>
            <w:vMerge w:val="continue"/>
          </w:tcPr>
          <w:p w14:paraId="1ACD60D4">
            <w:pPr>
              <w:jc w:val="left"/>
              <w:rPr>
                <w:rFonts w:ascii="宋体" w:hAnsi="宋体" w:eastAsia="宋体" w:cs="宋体"/>
                <w:b w:val="0"/>
                <w:bCs/>
                <w:color w:val="auto"/>
                <w:kern w:val="0"/>
                <w:sz w:val="18"/>
                <w:szCs w:val="18"/>
              </w:rPr>
            </w:pPr>
          </w:p>
        </w:tc>
        <w:tc>
          <w:tcPr>
            <w:tcW w:w="1393" w:type="dxa"/>
            <w:vAlign w:val="center"/>
          </w:tcPr>
          <w:p w14:paraId="56EB1CB9">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相间、相对地</w:t>
            </w:r>
          </w:p>
        </w:tc>
        <w:tc>
          <w:tcPr>
            <w:tcW w:w="621" w:type="dxa"/>
            <w:vAlign w:val="center"/>
          </w:tcPr>
          <w:p w14:paraId="1E2C9389">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kV</w:t>
            </w:r>
          </w:p>
        </w:tc>
        <w:tc>
          <w:tcPr>
            <w:tcW w:w="1168" w:type="dxa"/>
            <w:vAlign w:val="center"/>
          </w:tcPr>
          <w:p w14:paraId="631030AE">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p>
        </w:tc>
        <w:tc>
          <w:tcPr>
            <w:tcW w:w="1393" w:type="dxa"/>
            <w:vAlign w:val="center"/>
          </w:tcPr>
          <w:p w14:paraId="3C06A5D4">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p>
        </w:tc>
        <w:tc>
          <w:tcPr>
            <w:tcW w:w="1864" w:type="dxa"/>
            <w:vAlign w:val="center"/>
          </w:tcPr>
          <w:p w14:paraId="2A986D03">
            <w:pPr>
              <w:adjustRightInd w:val="0"/>
              <w:jc w:val="center"/>
              <w:rPr>
                <w:rFonts w:ascii="宋体" w:hAnsi="宋体" w:eastAsia="宋体" w:cs="宋体"/>
                <w:b w:val="0"/>
                <w:bCs/>
                <w:color w:val="auto"/>
                <w:kern w:val="0"/>
                <w:sz w:val="18"/>
                <w:szCs w:val="18"/>
              </w:rPr>
            </w:pPr>
            <w:r>
              <w:rPr>
                <w:rFonts w:hint="eastAsia" w:ascii="宋体" w:hAnsi="宋体" w:eastAsia="宋体" w:cs="宋体"/>
                <w:b w:val="0"/>
                <w:bCs/>
                <w:color w:val="auto"/>
                <w:kern w:val="0"/>
                <w:sz w:val="18"/>
                <w:szCs w:val="18"/>
              </w:rPr>
              <w:t>75</w:t>
            </w:r>
          </w:p>
        </w:tc>
      </w:tr>
    </w:tbl>
    <w:p w14:paraId="442343F5">
      <w:pPr>
        <w:spacing w:before="156" w:beforeLines="50"/>
        <w:jc w:val="left"/>
        <w:rPr>
          <w:rFonts w:ascii="宋体" w:hAnsi="宋体" w:eastAsia="宋体" w:cs="宋体"/>
          <w:b w:val="0"/>
          <w:bCs/>
          <w:color w:val="auto"/>
          <w:kern w:val="0"/>
          <w:sz w:val="18"/>
          <w:szCs w:val="18"/>
        </w:rPr>
      </w:pPr>
      <w:r>
        <w:rPr>
          <w:rFonts w:hint="eastAsia" w:ascii="宋体" w:hAnsi="宋体" w:eastAsia="宋体" w:cs="宋体"/>
          <w:b w:val="0"/>
          <w:bCs/>
          <w:color w:val="auto"/>
          <w:sz w:val="18"/>
          <w:szCs w:val="18"/>
        </w:rPr>
        <w:t>注：当负荷开关单元、熔断器组合电器单元的开关断口与隔离断口为同一断口时，开关断口耐压值应按照隔离断口耐压值。</w:t>
      </w:r>
    </w:p>
    <w:p w14:paraId="5432A417">
      <w:pPr>
        <w:ind w:firstLine="420" w:firstLineChars="200"/>
        <w:rPr>
          <w:rFonts w:ascii="宋体" w:hAnsi="宋体" w:eastAsia="宋体" w:cs="宋体"/>
          <w:b w:val="0"/>
          <w:bCs/>
          <w:color w:val="auto"/>
        </w:rPr>
      </w:pPr>
      <w:r>
        <w:rPr>
          <w:rFonts w:hint="eastAsia" w:ascii="宋体" w:hAnsi="宋体" w:eastAsia="宋体" w:cs="宋体"/>
          <w:b w:val="0"/>
          <w:bCs/>
          <w:color w:val="auto"/>
          <w:kern w:val="0"/>
          <w:szCs w:val="21"/>
        </w:rPr>
        <w:t>雷电冲击试验测试方法参照GB/T 11022中的规定。</w:t>
      </w:r>
    </w:p>
    <w:p w14:paraId="1B251AE1">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7.7 雷电冲击抗扰度试验</w:t>
      </w:r>
    </w:p>
    <w:p w14:paraId="689BB934">
      <w:pPr>
        <w:ind w:firstLine="420" w:firstLineChars="200"/>
        <w:jc w:val="left"/>
        <w:rPr>
          <w:rFonts w:ascii="宋体" w:hAnsi="宋体" w:eastAsia="宋体" w:cs="宋体"/>
          <w:b w:val="0"/>
          <w:bCs/>
          <w:color w:val="auto"/>
          <w:szCs w:val="21"/>
        </w:rPr>
      </w:pPr>
      <w:r>
        <w:rPr>
          <w:rFonts w:hint="eastAsia" w:ascii="宋体" w:hAnsi="宋体" w:eastAsia="宋体" w:cs="宋体"/>
          <w:b w:val="0"/>
          <w:bCs/>
          <w:color w:val="auto"/>
          <w:szCs w:val="21"/>
        </w:rPr>
        <w:t>雷电冲击抗干扰试验使用GB/T 16927.1规定的标准雷电冲击电压波形，空载时实际试验波形与标准波形的偏差应符合GB/T 16927.1的要求。</w:t>
      </w:r>
    </w:p>
    <w:p w14:paraId="390A7C7D">
      <w:pPr>
        <w:pStyle w:val="2"/>
        <w:spacing w:before="0" w:after="0" w:line="240" w:lineRule="auto"/>
        <w:ind w:firstLine="420"/>
        <w:jc w:val="both"/>
        <w:rPr>
          <w:rFonts w:ascii="宋体" w:hAnsi="宋体" w:eastAsia="宋体" w:cs="宋体"/>
          <w:b w:val="0"/>
          <w:color w:val="auto"/>
          <w:kern w:val="2"/>
          <w:sz w:val="21"/>
          <w:szCs w:val="21"/>
        </w:rPr>
      </w:pPr>
      <w:r>
        <w:rPr>
          <w:rFonts w:hint="eastAsia" w:ascii="宋体" w:hAnsi="宋体" w:eastAsia="宋体" w:cs="宋体"/>
          <w:b w:val="0"/>
          <w:color w:val="auto"/>
          <w:kern w:val="2"/>
          <w:sz w:val="21"/>
          <w:szCs w:val="21"/>
        </w:rPr>
        <w:t>试验程序：</w:t>
      </w:r>
    </w:p>
    <w:p w14:paraId="4199E00E">
      <w:pPr>
        <w:pStyle w:val="2"/>
        <w:spacing w:before="0" w:after="0" w:line="240" w:lineRule="auto"/>
        <w:ind w:firstLine="420"/>
        <w:jc w:val="both"/>
        <w:rPr>
          <w:rFonts w:ascii="宋体" w:hAnsi="宋体" w:eastAsia="宋体" w:cs="宋体"/>
          <w:b w:val="0"/>
          <w:color w:val="auto"/>
          <w:kern w:val="2"/>
          <w:sz w:val="21"/>
          <w:szCs w:val="21"/>
        </w:rPr>
      </w:pPr>
      <w:r>
        <w:rPr>
          <w:rFonts w:hint="eastAsia" w:ascii="宋体" w:hAnsi="宋体" w:eastAsia="宋体" w:cs="宋体"/>
          <w:b w:val="0"/>
          <w:color w:val="auto"/>
          <w:kern w:val="2"/>
          <w:sz w:val="21"/>
          <w:szCs w:val="21"/>
        </w:rPr>
        <w:t>a）试验时试品置于工作状态，投入后备电源，在开关分位和合位两个状态下，按照GB/T 16927.1的雷电冲击试验方法对试品三相进线端子施加标准雷电冲击电压波形，每相正负极性各5次；</w:t>
      </w:r>
    </w:p>
    <w:p w14:paraId="3AFC3AE4">
      <w:pPr>
        <w:pStyle w:val="2"/>
        <w:spacing w:before="0" w:after="0" w:line="240" w:lineRule="auto"/>
        <w:ind w:firstLine="420" w:firstLineChars="0"/>
        <w:jc w:val="both"/>
        <w:rPr>
          <w:rFonts w:ascii="宋体" w:hAnsi="宋体" w:eastAsia="宋体" w:cs="宋体"/>
          <w:b w:val="0"/>
          <w:color w:val="auto"/>
          <w:kern w:val="2"/>
          <w:sz w:val="21"/>
          <w:szCs w:val="21"/>
        </w:rPr>
      </w:pPr>
      <w:r>
        <w:rPr>
          <w:rFonts w:hint="eastAsia" w:ascii="宋体" w:hAnsi="宋体" w:eastAsia="宋体" w:cs="宋体"/>
          <w:b w:val="0"/>
          <w:color w:val="auto"/>
          <w:kern w:val="2"/>
          <w:sz w:val="21"/>
          <w:szCs w:val="21"/>
        </w:rPr>
        <w:t>b)试验后试品能正常执行分闸或合闸指令（若是弹簧操作机构一并完成储能操作）并正确上报分合闸及储能遥信量，进行重复5次遥控、遥信试验，要求遥控成功率100%，遥信量正确上报率100%；</w:t>
      </w:r>
    </w:p>
    <w:p w14:paraId="45328477">
      <w:pPr>
        <w:pStyle w:val="2"/>
        <w:spacing w:before="0" w:after="0" w:line="240" w:lineRule="auto"/>
        <w:ind w:firstLine="420" w:firstLineChars="0"/>
        <w:jc w:val="both"/>
        <w:rPr>
          <w:rFonts w:ascii="宋体" w:hAnsi="宋体" w:eastAsia="宋体" w:cs="宋体"/>
          <w:b w:val="0"/>
          <w:color w:val="auto"/>
          <w:kern w:val="2"/>
          <w:sz w:val="21"/>
          <w:szCs w:val="21"/>
        </w:rPr>
      </w:pPr>
      <w:r>
        <w:rPr>
          <w:rFonts w:hint="eastAsia" w:ascii="宋体" w:hAnsi="宋体" w:eastAsia="宋体" w:cs="宋体"/>
          <w:b w:val="0"/>
          <w:color w:val="auto"/>
          <w:kern w:val="2"/>
          <w:sz w:val="21"/>
          <w:szCs w:val="21"/>
        </w:rPr>
        <w:t>c)试验过程中不允许有明显放电现象，试品保护应无动作，遥信应无变位；</w:t>
      </w:r>
    </w:p>
    <w:p w14:paraId="055CDDCE">
      <w:pPr>
        <w:pStyle w:val="2"/>
        <w:spacing w:before="0" w:after="0" w:line="240" w:lineRule="auto"/>
        <w:ind w:firstLine="420" w:firstLineChars="0"/>
        <w:jc w:val="both"/>
        <w:rPr>
          <w:rFonts w:ascii="宋体" w:hAnsi="宋体" w:eastAsia="宋体" w:cs="宋体"/>
          <w:b w:val="0"/>
          <w:color w:val="auto"/>
          <w:sz w:val="21"/>
          <w:szCs w:val="21"/>
        </w:rPr>
      </w:pPr>
      <w:r>
        <w:rPr>
          <w:rFonts w:hint="eastAsia" w:ascii="宋体" w:hAnsi="宋体" w:eastAsia="宋体" w:cs="宋体"/>
          <w:b w:val="0"/>
          <w:color w:val="auto"/>
          <w:kern w:val="2"/>
          <w:sz w:val="21"/>
          <w:szCs w:val="21"/>
        </w:rPr>
        <w:t>d)试验过程中不能出现关机、死机、复位现象。</w:t>
      </w:r>
    </w:p>
    <w:p w14:paraId="14110C5B">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7.8 互感器准确度试验</w:t>
      </w:r>
    </w:p>
    <w:p w14:paraId="6CE27B71">
      <w:pPr>
        <w:pStyle w:val="7"/>
        <w:rPr>
          <w:rFonts w:ascii="黑体" w:hAnsi="黑体" w:eastAsia="黑体"/>
          <w:b w:val="0"/>
          <w:color w:val="auto"/>
          <w:sz w:val="21"/>
        </w:rPr>
      </w:pPr>
      <w:r>
        <w:rPr>
          <w:rFonts w:hint="eastAsia" w:ascii="黑体" w:hAnsi="黑体" w:eastAsia="黑体"/>
          <w:b w:val="0"/>
          <w:color w:val="auto"/>
          <w:sz w:val="21"/>
        </w:rPr>
        <w:t>7.8.1电流互感器准确度</w:t>
      </w:r>
    </w:p>
    <w:p w14:paraId="0732CFE5">
      <w:pPr>
        <w:pStyle w:val="2"/>
        <w:spacing w:before="0" w:after="0" w:line="240" w:lineRule="auto"/>
        <w:ind w:firstLine="420" w:firstLineChars="0"/>
        <w:jc w:val="both"/>
        <w:rPr>
          <w:rFonts w:ascii="宋体" w:hAnsi="宋体" w:eastAsia="宋体" w:cs="宋体"/>
          <w:b w:val="0"/>
          <w:color w:val="auto"/>
          <w:kern w:val="2"/>
          <w:sz w:val="21"/>
          <w:szCs w:val="24"/>
        </w:rPr>
      </w:pPr>
      <w:r>
        <w:rPr>
          <w:rFonts w:hint="eastAsia" w:ascii="宋体" w:hAnsi="宋体" w:eastAsia="宋体" w:cs="宋体"/>
          <w:b w:val="0"/>
          <w:color w:val="auto"/>
          <w:kern w:val="2"/>
          <w:sz w:val="21"/>
          <w:szCs w:val="24"/>
        </w:rPr>
        <w:t>电流互感器准确度试验要求符合5.5条规定。</w:t>
      </w:r>
    </w:p>
    <w:p w14:paraId="17036B03">
      <w:pPr>
        <w:pStyle w:val="2"/>
        <w:spacing w:before="0" w:after="0" w:line="240" w:lineRule="auto"/>
        <w:ind w:firstLine="420" w:firstLineChars="0"/>
        <w:jc w:val="both"/>
        <w:rPr>
          <w:rFonts w:ascii="宋体" w:hAnsi="宋体" w:eastAsia="宋体" w:cs="宋体"/>
          <w:b w:val="0"/>
          <w:color w:val="auto"/>
          <w:kern w:val="2"/>
          <w:sz w:val="21"/>
          <w:szCs w:val="24"/>
        </w:rPr>
      </w:pPr>
      <w:r>
        <w:rPr>
          <w:rFonts w:hint="eastAsia" w:ascii="宋体" w:hAnsi="宋体" w:eastAsia="宋体" w:cs="宋体"/>
          <w:b w:val="0"/>
          <w:color w:val="auto"/>
          <w:kern w:val="2"/>
          <w:sz w:val="21"/>
          <w:szCs w:val="24"/>
        </w:rPr>
        <w:t>电流互感器准确度试验按照GB/T 20840.2和GB/T 20840.8规定的方法进行。</w:t>
      </w:r>
    </w:p>
    <w:p w14:paraId="1B0FADF5">
      <w:pPr>
        <w:pStyle w:val="7"/>
        <w:rPr>
          <w:rFonts w:ascii="黑体" w:hAnsi="黑体" w:eastAsia="黑体"/>
          <w:b w:val="0"/>
          <w:color w:val="auto"/>
          <w:sz w:val="21"/>
        </w:rPr>
      </w:pPr>
      <w:r>
        <w:rPr>
          <w:rFonts w:hint="eastAsia" w:ascii="黑体" w:hAnsi="黑体" w:eastAsia="黑体"/>
          <w:b w:val="0"/>
          <w:color w:val="auto"/>
          <w:sz w:val="21"/>
        </w:rPr>
        <w:t>7.8.2电压互感器准确度</w:t>
      </w:r>
    </w:p>
    <w:p w14:paraId="393BA2E9">
      <w:pPr>
        <w:pStyle w:val="2"/>
        <w:spacing w:before="0" w:after="0" w:line="240" w:lineRule="auto"/>
        <w:ind w:firstLine="420" w:firstLineChars="0"/>
        <w:jc w:val="both"/>
        <w:rPr>
          <w:rFonts w:ascii="仿宋" w:hAnsi="仿宋" w:cs="仿宋" w:eastAsiaTheme="minorEastAsia"/>
          <w:b w:val="0"/>
          <w:color w:val="auto"/>
          <w:kern w:val="2"/>
          <w:sz w:val="21"/>
          <w:szCs w:val="24"/>
        </w:rPr>
      </w:pPr>
      <w:r>
        <w:rPr>
          <w:rFonts w:hint="eastAsia" w:ascii="仿宋" w:hAnsi="仿宋" w:cs="仿宋" w:eastAsiaTheme="minorEastAsia"/>
          <w:b w:val="0"/>
          <w:color w:val="auto"/>
          <w:kern w:val="2"/>
          <w:sz w:val="21"/>
          <w:szCs w:val="24"/>
        </w:rPr>
        <w:t>电压互感器准确度试验要求符合</w:t>
      </w:r>
      <w:r>
        <w:rPr>
          <w:rFonts w:hint="eastAsia" w:ascii="宋体" w:hAnsi="宋体" w:eastAsia="宋体" w:cs="宋体"/>
          <w:b w:val="0"/>
          <w:color w:val="auto"/>
          <w:kern w:val="2"/>
          <w:sz w:val="21"/>
          <w:szCs w:val="24"/>
        </w:rPr>
        <w:t>5.5</w:t>
      </w:r>
      <w:r>
        <w:rPr>
          <w:rFonts w:hint="eastAsia" w:ascii="仿宋" w:hAnsi="仿宋" w:cs="仿宋" w:eastAsiaTheme="minorEastAsia"/>
          <w:b w:val="0"/>
          <w:color w:val="auto"/>
          <w:kern w:val="2"/>
          <w:sz w:val="21"/>
          <w:szCs w:val="24"/>
        </w:rPr>
        <w:t>条规定。</w:t>
      </w:r>
    </w:p>
    <w:p w14:paraId="0BC937E6">
      <w:pPr>
        <w:pStyle w:val="2"/>
        <w:spacing w:before="0" w:after="0" w:line="240" w:lineRule="auto"/>
        <w:ind w:firstLine="420" w:firstLineChars="0"/>
        <w:jc w:val="both"/>
        <w:rPr>
          <w:rFonts w:ascii="宋体" w:hAnsi="宋体" w:eastAsia="宋体" w:cs="宋体"/>
          <w:b w:val="0"/>
          <w:color w:val="auto"/>
          <w:kern w:val="2"/>
          <w:sz w:val="21"/>
          <w:szCs w:val="24"/>
        </w:rPr>
      </w:pPr>
      <w:r>
        <w:rPr>
          <w:rFonts w:hint="eastAsia" w:ascii="宋体" w:hAnsi="宋体" w:eastAsia="宋体" w:cs="宋体"/>
          <w:b w:val="0"/>
          <w:color w:val="auto"/>
          <w:kern w:val="2"/>
          <w:sz w:val="21"/>
          <w:szCs w:val="24"/>
        </w:rPr>
        <w:t>电压互感器准确度试验按照GB/T 20840.3和GB/T 20840.7规定的方法进行。</w:t>
      </w:r>
    </w:p>
    <w:p w14:paraId="6CC7D055">
      <w:pPr>
        <w:pStyle w:val="7"/>
        <w:rPr>
          <w:rFonts w:ascii="黑体" w:hAnsi="黑体" w:eastAsia="黑体"/>
          <w:b w:val="0"/>
          <w:color w:val="auto"/>
          <w:sz w:val="21"/>
        </w:rPr>
      </w:pPr>
      <w:r>
        <w:rPr>
          <w:rFonts w:hint="eastAsia" w:ascii="黑体" w:hAnsi="黑体" w:eastAsia="黑体"/>
          <w:b w:val="0"/>
          <w:color w:val="auto"/>
          <w:sz w:val="21"/>
        </w:rPr>
        <w:t>7.8.3三相负荷对零序电流测量准确度影响量试验</w:t>
      </w:r>
    </w:p>
    <w:p w14:paraId="0B732216">
      <w:pPr>
        <w:pStyle w:val="2"/>
        <w:spacing w:before="0" w:after="0" w:line="240" w:lineRule="auto"/>
        <w:ind w:firstLine="420" w:firstLineChars="0"/>
        <w:jc w:val="both"/>
        <w:rPr>
          <w:rFonts w:ascii="宋体" w:hAnsi="宋体" w:eastAsia="宋体" w:cs="宋体"/>
          <w:b w:val="0"/>
          <w:color w:val="auto"/>
          <w:kern w:val="2"/>
          <w:sz w:val="21"/>
          <w:szCs w:val="24"/>
        </w:rPr>
      </w:pPr>
      <w:r>
        <w:rPr>
          <w:rFonts w:hint="eastAsia" w:ascii="宋体" w:hAnsi="宋体" w:eastAsia="宋体" w:cs="宋体"/>
          <w:b w:val="0"/>
          <w:color w:val="auto"/>
          <w:kern w:val="2"/>
          <w:sz w:val="21"/>
          <w:szCs w:val="24"/>
        </w:rPr>
        <w:t>按照GB/T 20840.2和GB/T 20840.8规定的准确度试验方法，采用图1的接线方式，分别施加1%In、5%In、20%In、100%In和120%In的负荷电流，检测零序电流互感器的输出值，其测量值折算到一次侧应小于1A。</w:t>
      </w:r>
    </w:p>
    <w:p w14:paraId="42DD83AE">
      <w:pPr>
        <w:pStyle w:val="2"/>
        <w:spacing w:before="0" w:after="0"/>
        <w:ind w:firstLine="420" w:firstLineChars="0"/>
        <w:jc w:val="both"/>
        <w:rPr>
          <w:b w:val="0"/>
          <w:color w:val="auto"/>
        </w:rPr>
      </w:pPr>
      <w:r>
        <w:rPr>
          <w:rFonts w:hint="eastAsia"/>
          <w:b w:val="0"/>
          <w:color w:val="auto"/>
        </w:rPr>
        <w:t xml:space="preserve">     </w:t>
      </w:r>
      <w:r>
        <w:rPr>
          <w:b w:val="0"/>
          <w:color w:val="auto"/>
        </w:rPr>
        <w:drawing>
          <wp:inline distT="0" distB="0" distL="114300" distR="114300">
            <wp:extent cx="3667760" cy="1915795"/>
            <wp:effectExtent l="0" t="0" r="8890" b="8255"/>
            <wp:docPr id="1"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2"/>
                    <pic:cNvPicPr>
                      <a:picLocks noChangeAspect="1"/>
                    </pic:cNvPicPr>
                  </pic:nvPicPr>
                  <pic:blipFill>
                    <a:blip r:embed="rId16" cstate="print"/>
                    <a:stretch>
                      <a:fillRect/>
                    </a:stretch>
                  </pic:blipFill>
                  <pic:spPr>
                    <a:xfrm>
                      <a:off x="0" y="0"/>
                      <a:ext cx="3667760" cy="1915795"/>
                    </a:xfrm>
                    <a:prstGeom prst="rect">
                      <a:avLst/>
                    </a:prstGeom>
                    <a:noFill/>
                    <a:ln>
                      <a:noFill/>
                    </a:ln>
                  </pic:spPr>
                </pic:pic>
              </a:graphicData>
            </a:graphic>
          </wp:inline>
        </w:drawing>
      </w:r>
    </w:p>
    <w:p w14:paraId="3FA5D5F9">
      <w:pPr>
        <w:pStyle w:val="2"/>
        <w:spacing w:before="0" w:after="0" w:line="240" w:lineRule="auto"/>
        <w:ind w:firstLine="420" w:firstLineChars="0"/>
        <w:jc w:val="both"/>
        <w:rPr>
          <w:rFonts w:ascii="宋体" w:hAnsi="宋体" w:eastAsia="宋体" w:cs="宋体"/>
          <w:b w:val="0"/>
          <w:color w:val="auto"/>
          <w:sz w:val="21"/>
          <w:szCs w:val="21"/>
        </w:rPr>
      </w:pPr>
      <w:r>
        <w:rPr>
          <w:rFonts w:hint="eastAsia"/>
          <w:b w:val="0"/>
          <w:color w:val="auto"/>
        </w:rPr>
        <w:t xml:space="preserve">      </w:t>
      </w:r>
      <w:r>
        <w:rPr>
          <w:rFonts w:hint="eastAsia"/>
          <w:b w:val="0"/>
          <w:color w:val="auto"/>
          <w:sz w:val="21"/>
          <w:szCs w:val="21"/>
        </w:rPr>
        <w:t xml:space="preserve"> </w:t>
      </w:r>
      <w:r>
        <w:rPr>
          <w:rFonts w:hint="eastAsia" w:ascii="宋体" w:hAnsi="宋体" w:eastAsia="宋体" w:cs="宋体"/>
          <w:b w:val="0"/>
          <w:color w:val="auto"/>
          <w:sz w:val="21"/>
          <w:szCs w:val="21"/>
        </w:rPr>
        <w:t>图7-1 三相负荷对零序电流测量准确度影响量试验接线示意图</w:t>
      </w:r>
    </w:p>
    <w:p w14:paraId="6E6D64A4">
      <w:pPr>
        <w:pStyle w:val="2"/>
        <w:spacing w:before="0" w:after="0" w:line="240" w:lineRule="auto"/>
        <w:ind w:firstLine="420"/>
        <w:jc w:val="left"/>
        <w:rPr>
          <w:b w:val="0"/>
          <w:color w:val="auto"/>
        </w:rPr>
      </w:pPr>
      <w:r>
        <w:rPr>
          <w:rFonts w:hint="eastAsia" w:ascii="宋体" w:hAnsi="宋体" w:eastAsia="宋体" w:cs="宋体"/>
          <w:b w:val="0"/>
          <w:color w:val="auto"/>
          <w:kern w:val="2"/>
          <w:sz w:val="21"/>
          <w:szCs w:val="21"/>
        </w:rPr>
        <w:t>试验标准电流源与环网开关柜电源侧A相及C相正常接线，环网开关柜负荷侧A相及C相与B相短接，电源侧B相分别与试验标准电流源A相及C相接线。</w:t>
      </w:r>
    </w:p>
    <w:p w14:paraId="241EF007">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7.9 成套设备动作性能试验</w:t>
      </w:r>
    </w:p>
    <w:p w14:paraId="3FCD6DEB">
      <w:pPr>
        <w:pStyle w:val="7"/>
        <w:rPr>
          <w:rFonts w:ascii="黑体" w:hAnsi="黑体" w:eastAsia="黑体"/>
          <w:b w:val="0"/>
          <w:color w:val="auto"/>
          <w:sz w:val="21"/>
        </w:rPr>
      </w:pPr>
      <w:r>
        <w:rPr>
          <w:rFonts w:ascii="黑体" w:hAnsi="黑体" w:eastAsia="黑体"/>
          <w:b w:val="0"/>
          <w:color w:val="auto"/>
          <w:sz w:val="21"/>
        </w:rPr>
        <w:t>7.9.1</w:t>
      </w:r>
      <w:r>
        <w:rPr>
          <w:rFonts w:hint="eastAsia" w:ascii="黑体" w:hAnsi="黑体" w:eastAsia="黑体"/>
          <w:b w:val="0"/>
          <w:color w:val="auto"/>
          <w:sz w:val="21"/>
        </w:rPr>
        <w:t>测量</w:t>
      </w:r>
      <w:r>
        <w:rPr>
          <w:rFonts w:ascii="黑体" w:hAnsi="黑体" w:eastAsia="黑体"/>
          <w:b w:val="0"/>
          <w:color w:val="auto"/>
          <w:sz w:val="21"/>
        </w:rPr>
        <w:t>精度</w:t>
      </w:r>
    </w:p>
    <w:p w14:paraId="693B7AF6">
      <w:pPr>
        <w:widowControl/>
        <w:ind w:firstLine="420" w:firstLineChars="200"/>
        <w:jc w:val="left"/>
        <w:rPr>
          <w:rFonts w:ascii="宋体" w:hAnsi="宋体" w:eastAsia="宋体" w:cs="宋体"/>
          <w:b w:val="0"/>
          <w:bCs/>
          <w:color w:val="auto"/>
          <w:szCs w:val="21"/>
        </w:rPr>
      </w:pPr>
      <w:r>
        <w:rPr>
          <w:rFonts w:hint="eastAsia" w:ascii="宋体" w:hAnsi="宋体" w:eastAsia="宋体" w:cs="宋体"/>
          <w:b w:val="0"/>
          <w:bCs/>
          <w:color w:val="auto"/>
          <w:szCs w:val="21"/>
        </w:rPr>
        <w:t xml:space="preserve">在开关一次侧施加额定电流，记录上传至模拟主站的电流，满足1级精度要求。 </w:t>
      </w:r>
    </w:p>
    <w:p w14:paraId="5499C8C2">
      <w:pPr>
        <w:widowControl/>
        <w:ind w:firstLine="420" w:firstLineChars="200"/>
        <w:jc w:val="left"/>
        <w:rPr>
          <w:rFonts w:ascii="宋体" w:hAnsi="宋体" w:eastAsia="宋体" w:cs="宋体"/>
          <w:b w:val="0"/>
          <w:bCs/>
          <w:color w:val="auto"/>
          <w:szCs w:val="21"/>
        </w:rPr>
      </w:pPr>
      <w:r>
        <w:rPr>
          <w:rFonts w:hint="eastAsia" w:ascii="宋体" w:hAnsi="宋体" w:eastAsia="宋体" w:cs="宋体"/>
          <w:b w:val="0"/>
          <w:bCs/>
          <w:color w:val="auto"/>
          <w:szCs w:val="21"/>
        </w:rPr>
        <w:t>在二次侧施加额定电压、电流，所测的电压、电流满足0.5级精度要求，有功功率、无功功率满足1级精度要求，频率满足0.5级精度要求。</w:t>
      </w:r>
    </w:p>
    <w:p w14:paraId="0E755874">
      <w:pPr>
        <w:pStyle w:val="7"/>
        <w:rPr>
          <w:rFonts w:ascii="黑体" w:hAnsi="黑体" w:eastAsia="黑体"/>
          <w:b w:val="0"/>
          <w:color w:val="auto"/>
          <w:sz w:val="21"/>
        </w:rPr>
      </w:pPr>
      <w:r>
        <w:rPr>
          <w:rFonts w:ascii="黑体" w:hAnsi="黑体" w:eastAsia="黑体"/>
          <w:b w:val="0"/>
          <w:color w:val="auto"/>
          <w:sz w:val="21"/>
        </w:rPr>
        <w:t>7.9.2</w:t>
      </w:r>
      <w:r>
        <w:rPr>
          <w:rFonts w:hint="eastAsia" w:ascii="黑体" w:hAnsi="黑体" w:eastAsia="黑体"/>
          <w:b w:val="0"/>
          <w:color w:val="auto"/>
          <w:sz w:val="21"/>
        </w:rPr>
        <w:t>动作精度</w:t>
      </w:r>
    </w:p>
    <w:p w14:paraId="6E909BA4">
      <w:pPr>
        <w:widowControl/>
        <w:ind w:firstLine="420" w:firstLineChars="200"/>
        <w:jc w:val="left"/>
        <w:rPr>
          <w:rFonts w:ascii="宋体" w:hAnsi="宋体" w:eastAsia="宋体" w:cs="宋体"/>
          <w:b w:val="0"/>
          <w:bCs/>
          <w:color w:val="auto"/>
          <w:szCs w:val="21"/>
        </w:rPr>
      </w:pPr>
      <w:r>
        <w:rPr>
          <w:rFonts w:hint="eastAsia" w:ascii="宋体" w:hAnsi="宋体" w:eastAsia="宋体" w:cs="宋体"/>
          <w:b w:val="0"/>
          <w:bCs/>
          <w:color w:val="auto"/>
          <w:szCs w:val="21"/>
        </w:rPr>
        <w:t>终端投入相过流保护功能，保护动作电流整定为In和5In，跳闸延时整定为0s。在一次侧施加0.95*动作电流的故障电流，持续时间0.2s，开关应可靠不跳闸，施加1.05倍动作电流的故障电流0.2s时，开关应可靠跳闸。</w:t>
      </w:r>
    </w:p>
    <w:p w14:paraId="71BF1E00">
      <w:pPr>
        <w:pStyle w:val="2"/>
        <w:spacing w:before="0" w:after="0" w:line="240" w:lineRule="auto"/>
        <w:ind w:firstLine="420"/>
        <w:jc w:val="both"/>
        <w:rPr>
          <w:rFonts w:ascii="宋体" w:hAnsi="宋体" w:eastAsia="宋体" w:cs="宋体"/>
          <w:b w:val="0"/>
          <w:bCs/>
          <w:color w:val="auto"/>
          <w:kern w:val="2"/>
          <w:sz w:val="21"/>
          <w:szCs w:val="21"/>
        </w:rPr>
      </w:pPr>
      <w:r>
        <w:rPr>
          <w:rFonts w:hint="eastAsia" w:ascii="宋体" w:hAnsi="宋体" w:eastAsia="宋体" w:cs="宋体"/>
          <w:b w:val="0"/>
          <w:bCs/>
          <w:color w:val="auto"/>
          <w:kern w:val="2"/>
          <w:sz w:val="21"/>
          <w:szCs w:val="21"/>
        </w:rPr>
        <w:t xml:space="preserve">终端投入零序过流保护功能，保护动作电流一次值整定为50A，延时定值整定值为0s。在一次侧施加0.95*动作电流的故障电流，持续时间0.2s，开关应可靠不跳闸，施加1.05倍动作电流的故障电流0.2s时，开关应可靠跳闸。 </w:t>
      </w:r>
    </w:p>
    <w:p w14:paraId="00224581">
      <w:pPr>
        <w:pStyle w:val="7"/>
        <w:rPr>
          <w:rFonts w:ascii="黑体" w:hAnsi="黑体" w:eastAsia="黑体"/>
          <w:b w:val="0"/>
          <w:color w:val="auto"/>
          <w:sz w:val="21"/>
        </w:rPr>
      </w:pPr>
      <w:r>
        <w:rPr>
          <w:rFonts w:hint="eastAsia" w:ascii="黑体" w:hAnsi="黑体" w:eastAsia="黑体"/>
          <w:b w:val="0"/>
          <w:color w:val="auto"/>
          <w:sz w:val="21"/>
        </w:rPr>
        <w:t>7</w:t>
      </w:r>
      <w:r>
        <w:rPr>
          <w:rFonts w:ascii="黑体" w:hAnsi="黑体" w:eastAsia="黑体"/>
          <w:b w:val="0"/>
          <w:color w:val="auto"/>
          <w:sz w:val="21"/>
        </w:rPr>
        <w:t>.9.3</w:t>
      </w:r>
      <w:r>
        <w:rPr>
          <w:rFonts w:hint="eastAsia" w:ascii="黑体" w:hAnsi="黑体" w:eastAsia="黑体"/>
          <w:b w:val="0"/>
          <w:color w:val="auto"/>
          <w:sz w:val="21"/>
        </w:rPr>
        <w:t>动作时间</w:t>
      </w:r>
    </w:p>
    <w:p w14:paraId="219B80BE">
      <w:pPr>
        <w:widowControl/>
        <w:ind w:firstLine="420" w:firstLineChars="200"/>
        <w:jc w:val="left"/>
        <w:rPr>
          <w:rFonts w:ascii="宋体" w:hAnsi="宋体" w:eastAsia="宋体" w:cs="宋体"/>
          <w:b w:val="0"/>
          <w:bCs/>
          <w:color w:val="auto"/>
          <w:szCs w:val="21"/>
        </w:rPr>
      </w:pPr>
      <w:r>
        <w:rPr>
          <w:rFonts w:hint="eastAsia" w:ascii="宋体" w:hAnsi="宋体" w:eastAsia="宋体" w:cs="宋体"/>
          <w:b w:val="0"/>
          <w:bCs/>
          <w:color w:val="auto"/>
          <w:szCs w:val="21"/>
        </w:rPr>
        <w:t>保护动作电流（0～20In，步长0.01A）和跳闸延时（0s～99s，步长0.01s）均可由用户平滑设定，保护可设置为“跳闸出口”或“告警发信”两种模式。在一次侧施加1.2倍动作电流的故障电流，连续5次测得的开关分闸时间误差小于整定值的1%或小于100ms（弹簧机构）/70ms(永磁机构)。</w:t>
      </w:r>
    </w:p>
    <w:p w14:paraId="08292AB3">
      <w:pPr>
        <w:pStyle w:val="7"/>
        <w:rPr>
          <w:rFonts w:ascii="黑体" w:hAnsi="黑体" w:eastAsia="黑体"/>
          <w:b w:val="0"/>
          <w:color w:val="auto"/>
          <w:sz w:val="21"/>
        </w:rPr>
      </w:pPr>
      <w:r>
        <w:rPr>
          <w:rFonts w:ascii="黑体" w:hAnsi="黑体" w:eastAsia="黑体"/>
          <w:b w:val="0"/>
          <w:color w:val="auto"/>
          <w:sz w:val="21"/>
        </w:rPr>
        <w:t>7.9.4</w:t>
      </w:r>
      <w:r>
        <w:rPr>
          <w:rFonts w:hint="eastAsia" w:ascii="黑体" w:hAnsi="黑体" w:eastAsia="黑体"/>
          <w:b w:val="0"/>
          <w:color w:val="auto"/>
          <w:sz w:val="21"/>
        </w:rPr>
        <w:t xml:space="preserve"> 状态开关量变化试验</w:t>
      </w:r>
    </w:p>
    <w:p w14:paraId="654B658E">
      <w:pPr>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成套设备上改变任何具备遥信上报功能的旋钮、按钮、压板或开关状态时，模拟主站应观察到对应遥信位变化，遥信状态与成套设备实际状态一致。重复试验 10 次以上，遥信响应时间均应小于1s。</w:t>
      </w:r>
    </w:p>
    <w:p w14:paraId="6DD2C3E2">
      <w:pPr>
        <w:pStyle w:val="7"/>
        <w:rPr>
          <w:rFonts w:ascii="黑体" w:hAnsi="黑体" w:eastAsia="黑体"/>
          <w:b w:val="0"/>
          <w:color w:val="auto"/>
          <w:sz w:val="21"/>
        </w:rPr>
      </w:pPr>
      <w:r>
        <w:rPr>
          <w:rFonts w:ascii="黑体" w:hAnsi="黑体" w:eastAsia="黑体"/>
          <w:b w:val="0"/>
          <w:color w:val="auto"/>
          <w:sz w:val="21"/>
        </w:rPr>
        <w:t>7.9.5</w:t>
      </w:r>
      <w:r>
        <w:rPr>
          <w:rFonts w:hint="eastAsia" w:ascii="黑体" w:hAnsi="黑体" w:eastAsia="黑体"/>
          <w:b w:val="0"/>
          <w:color w:val="auto"/>
          <w:sz w:val="21"/>
        </w:rPr>
        <w:t>遥控试验</w:t>
      </w:r>
    </w:p>
    <w:p w14:paraId="5BA81C50">
      <w:pPr>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远方/就地把手切换到远方时，通过模拟主站进行10次分合闸遥控操作，成套设备应正确动作。远方/就地把手切换到就地时，成套设备应不动作。</w:t>
      </w:r>
    </w:p>
    <w:p w14:paraId="1DDB788D">
      <w:pPr>
        <w:pStyle w:val="7"/>
        <w:rPr>
          <w:rFonts w:ascii="黑体" w:hAnsi="黑体" w:eastAsia="黑体"/>
          <w:b w:val="0"/>
          <w:color w:val="auto"/>
          <w:sz w:val="21"/>
        </w:rPr>
      </w:pPr>
      <w:r>
        <w:rPr>
          <w:rFonts w:ascii="黑体" w:hAnsi="黑体" w:eastAsia="黑体"/>
          <w:b w:val="0"/>
          <w:color w:val="auto"/>
          <w:sz w:val="21"/>
        </w:rPr>
        <w:t>7.9.6</w:t>
      </w:r>
      <w:r>
        <w:rPr>
          <w:rFonts w:hint="eastAsia" w:ascii="黑体" w:hAnsi="黑体" w:eastAsia="黑体"/>
          <w:b w:val="0"/>
          <w:color w:val="auto"/>
          <w:sz w:val="21"/>
        </w:rPr>
        <w:t xml:space="preserve"> 事件顺序记录试验</w:t>
      </w:r>
    </w:p>
    <w:p w14:paraId="735F1032">
      <w:pPr>
        <w:ind w:firstLine="420"/>
        <w:rPr>
          <w:rFonts w:ascii="宋体" w:hAnsi="宋体" w:eastAsia="宋体" w:cs="宋体"/>
          <w:b w:val="0"/>
          <w:bCs/>
          <w:color w:val="auto"/>
        </w:rPr>
      </w:pPr>
      <w:r>
        <w:rPr>
          <w:rFonts w:hint="eastAsia" w:ascii="宋体" w:hAnsi="宋体" w:eastAsia="宋体" w:cs="宋体"/>
          <w:b w:val="0"/>
          <w:bCs/>
          <w:color w:val="auto"/>
          <w:szCs w:val="21"/>
        </w:rPr>
        <w:t>将脉冲信号模拟器的两路输出信号接至终端的任意两路遥信输人端，对两路脉冲信号设置一定的时间间隔，间隔时间不大于 10 ms。启动脉冲模拟器工作，应能查出遥信名称、状态及动作时间。重复上述试验10次以上，SOE分辨率应≤2ms。</w:t>
      </w:r>
    </w:p>
    <w:p w14:paraId="6B16344B">
      <w:pPr>
        <w:pStyle w:val="7"/>
        <w:rPr>
          <w:rFonts w:ascii="黑体" w:hAnsi="黑体" w:eastAsia="黑体"/>
          <w:b w:val="0"/>
          <w:color w:val="auto"/>
          <w:sz w:val="21"/>
        </w:rPr>
      </w:pPr>
      <w:r>
        <w:rPr>
          <w:rFonts w:hint="eastAsia" w:ascii="黑体" w:hAnsi="黑体" w:eastAsia="黑体"/>
          <w:b w:val="0"/>
          <w:color w:val="auto"/>
          <w:sz w:val="21"/>
        </w:rPr>
        <w:t>7.</w:t>
      </w:r>
      <w:r>
        <w:rPr>
          <w:rFonts w:ascii="黑体" w:hAnsi="黑体" w:eastAsia="黑体"/>
          <w:b w:val="0"/>
          <w:color w:val="auto"/>
          <w:sz w:val="21"/>
        </w:rPr>
        <w:t>9</w:t>
      </w:r>
      <w:r>
        <w:rPr>
          <w:rFonts w:hint="eastAsia" w:ascii="黑体" w:hAnsi="黑体" w:eastAsia="黑体"/>
          <w:b w:val="0"/>
          <w:color w:val="auto"/>
          <w:sz w:val="21"/>
        </w:rPr>
        <w:t>.</w:t>
      </w:r>
      <w:r>
        <w:rPr>
          <w:rFonts w:ascii="黑体" w:hAnsi="黑体" w:eastAsia="黑体"/>
          <w:b w:val="0"/>
          <w:color w:val="auto"/>
          <w:sz w:val="21"/>
        </w:rPr>
        <w:t>7</w:t>
      </w:r>
      <w:r>
        <w:rPr>
          <w:rFonts w:hint="eastAsia" w:ascii="黑体" w:hAnsi="黑体" w:eastAsia="黑体"/>
          <w:b w:val="0"/>
          <w:color w:val="auto"/>
          <w:sz w:val="21"/>
        </w:rPr>
        <w:t>录波功能</w:t>
      </w:r>
    </w:p>
    <w:p w14:paraId="1A274141">
      <w:pPr>
        <w:pStyle w:val="24"/>
        <w:numPr>
          <w:ilvl w:val="0"/>
          <w:numId w:val="4"/>
        </w:numPr>
        <w:spacing w:after="0"/>
        <w:ind w:left="397" w:firstLine="210"/>
        <w:jc w:val="left"/>
        <w:rPr>
          <w:rFonts w:ascii="宋体" w:hAnsi="宋体" w:eastAsia="宋体" w:cs="宋体"/>
          <w:b w:val="0"/>
          <w:bCs/>
          <w:color w:val="auto"/>
          <w:szCs w:val="21"/>
        </w:rPr>
      </w:pPr>
      <w:r>
        <w:rPr>
          <w:rFonts w:hint="eastAsia" w:ascii="宋体" w:hAnsi="宋体" w:eastAsia="宋体" w:cs="宋体"/>
          <w:b w:val="0"/>
          <w:bCs/>
          <w:color w:val="auto"/>
          <w:szCs w:val="21"/>
        </w:rPr>
        <w:t>录波功能启动条件包括过流故障、线路失压、零序电压、零序电流突变等，可远方及就地设定启动条件参数。支持录波数据循环存储至少64组，支持录波数据上传至主站。</w:t>
      </w:r>
    </w:p>
    <w:p w14:paraId="43AFE020">
      <w:pPr>
        <w:pStyle w:val="24"/>
        <w:numPr>
          <w:ilvl w:val="0"/>
          <w:numId w:val="4"/>
        </w:numPr>
        <w:spacing w:after="0"/>
        <w:ind w:left="397" w:firstLine="210"/>
        <w:jc w:val="left"/>
        <w:rPr>
          <w:rFonts w:ascii="宋体" w:hAnsi="宋体" w:cs="宋体"/>
          <w:b w:val="0"/>
          <w:bCs/>
          <w:color w:val="auto"/>
        </w:rPr>
      </w:pPr>
      <w:r>
        <w:rPr>
          <w:rFonts w:hint="eastAsia" w:ascii="宋体" w:hAnsi="宋体" w:cs="宋体"/>
          <w:b w:val="0"/>
          <w:bCs/>
          <w:color w:val="auto"/>
        </w:rPr>
        <w:t>录波应包括故障发生时刻前不少于4个周波和故障发生时刻后不少于8个周波的波形数据，录波点数为不少于 24点/周波，录波数据应包含电压、电流、开关位置等；</w:t>
      </w:r>
    </w:p>
    <w:p w14:paraId="39E29F51">
      <w:pPr>
        <w:pStyle w:val="24"/>
        <w:numPr>
          <w:ilvl w:val="0"/>
          <w:numId w:val="4"/>
        </w:numPr>
        <w:spacing w:after="0"/>
        <w:ind w:left="397" w:firstLine="210"/>
        <w:jc w:val="left"/>
        <w:rPr>
          <w:rFonts w:ascii="宋体" w:hAnsi="宋体" w:cs="宋体"/>
          <w:b w:val="0"/>
          <w:bCs/>
          <w:color w:val="auto"/>
        </w:rPr>
      </w:pPr>
      <w:r>
        <w:rPr>
          <w:rFonts w:hint="eastAsia" w:ascii="宋体" w:hAnsi="宋体" w:cs="宋体"/>
          <w:b w:val="0"/>
          <w:bCs/>
          <w:color w:val="auto"/>
        </w:rPr>
        <w:t>录波采用文件传输方式，录波文件格式遵循GB/T 14598.24-2017量度继电器和保护装置 第24部分：电力系统暂态数据交换(COMTRADE)通用格式,只采用 CFG（配置文件，ASCII 文本）和 DAT（数据文件，二进制格式）两个文件。</w:t>
      </w:r>
    </w:p>
    <w:p w14:paraId="4A0967B8">
      <w:pPr>
        <w:pStyle w:val="7"/>
        <w:rPr>
          <w:rFonts w:ascii="黑体" w:hAnsi="黑体" w:eastAsia="黑体"/>
          <w:b w:val="0"/>
          <w:color w:val="auto"/>
          <w:sz w:val="21"/>
        </w:rPr>
      </w:pPr>
      <w:r>
        <w:rPr>
          <w:rFonts w:hint="eastAsia" w:ascii="黑体" w:hAnsi="黑体" w:eastAsia="黑体"/>
          <w:b w:val="0"/>
          <w:color w:val="auto"/>
          <w:sz w:val="21"/>
        </w:rPr>
        <w:t>7.</w:t>
      </w:r>
      <w:r>
        <w:rPr>
          <w:rFonts w:ascii="黑体" w:hAnsi="黑体" w:eastAsia="黑体"/>
          <w:b w:val="0"/>
          <w:color w:val="auto"/>
          <w:sz w:val="21"/>
        </w:rPr>
        <w:t>9</w:t>
      </w:r>
      <w:r>
        <w:rPr>
          <w:rFonts w:hint="eastAsia" w:ascii="黑体" w:hAnsi="黑体" w:eastAsia="黑体"/>
          <w:b w:val="0"/>
          <w:color w:val="auto"/>
          <w:sz w:val="21"/>
        </w:rPr>
        <w:t>.</w:t>
      </w:r>
      <w:r>
        <w:rPr>
          <w:rFonts w:ascii="黑体" w:hAnsi="黑体" w:eastAsia="黑体"/>
          <w:b w:val="0"/>
          <w:color w:val="auto"/>
          <w:sz w:val="21"/>
        </w:rPr>
        <w:t>8</w:t>
      </w:r>
      <w:r>
        <w:rPr>
          <w:rFonts w:hint="eastAsia" w:ascii="黑体" w:hAnsi="黑体" w:eastAsia="黑体"/>
          <w:b w:val="0"/>
          <w:color w:val="auto"/>
          <w:sz w:val="21"/>
        </w:rPr>
        <w:t xml:space="preserve"> 指示灯</w:t>
      </w:r>
      <w:r>
        <w:rPr>
          <w:rFonts w:ascii="黑体" w:hAnsi="黑体" w:eastAsia="黑体"/>
          <w:b w:val="0"/>
          <w:color w:val="auto"/>
          <w:sz w:val="21"/>
        </w:rPr>
        <w:t>复归</w:t>
      </w:r>
      <w:r>
        <w:rPr>
          <w:rFonts w:hint="eastAsia" w:ascii="黑体" w:hAnsi="黑体" w:eastAsia="黑体"/>
          <w:b w:val="0"/>
          <w:color w:val="auto"/>
          <w:sz w:val="21"/>
        </w:rPr>
        <w:t>试验</w:t>
      </w:r>
    </w:p>
    <w:p w14:paraId="5AFB06C6">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具有当地相应馈线故障指示灯和信号复归按钮，故障指示灯自动复归时间可设置，默认8小时自动复归。</w:t>
      </w:r>
    </w:p>
    <w:p w14:paraId="4EE31734">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7.10 成套设备保护逻辑功能试验</w:t>
      </w:r>
    </w:p>
    <w:p w14:paraId="2011186C">
      <w:pPr>
        <w:pStyle w:val="7"/>
        <w:rPr>
          <w:rFonts w:ascii="黑体" w:hAnsi="黑体" w:eastAsia="黑体"/>
          <w:b w:val="0"/>
          <w:color w:val="auto"/>
          <w:sz w:val="21"/>
        </w:rPr>
      </w:pPr>
      <w:r>
        <w:rPr>
          <w:rFonts w:hint="eastAsia" w:ascii="黑体" w:hAnsi="黑体" w:eastAsia="黑体"/>
          <w:b w:val="0"/>
          <w:color w:val="auto"/>
          <w:sz w:val="21"/>
        </w:rPr>
        <w:t>7.10.</w:t>
      </w:r>
      <w:r>
        <w:rPr>
          <w:rFonts w:ascii="黑体" w:hAnsi="黑体" w:eastAsia="黑体"/>
          <w:b w:val="0"/>
          <w:color w:val="auto"/>
          <w:sz w:val="21"/>
        </w:rPr>
        <w:t xml:space="preserve">1 </w:t>
      </w:r>
      <w:r>
        <w:rPr>
          <w:rFonts w:hint="eastAsia" w:ascii="黑体" w:hAnsi="黑体" w:eastAsia="黑体"/>
          <w:b w:val="0"/>
          <w:color w:val="auto"/>
          <w:sz w:val="21"/>
        </w:rPr>
        <w:t>集中式</w:t>
      </w:r>
      <w:r>
        <w:rPr>
          <w:rFonts w:ascii="黑体" w:hAnsi="黑体" w:eastAsia="黑体"/>
          <w:b w:val="0"/>
          <w:color w:val="auto"/>
          <w:sz w:val="21"/>
        </w:rPr>
        <w:t>FA</w:t>
      </w:r>
      <w:r>
        <w:rPr>
          <w:rFonts w:hint="eastAsia" w:ascii="黑体" w:hAnsi="黑体" w:eastAsia="黑体"/>
          <w:b w:val="0"/>
          <w:color w:val="auto"/>
          <w:sz w:val="21"/>
        </w:rPr>
        <w:t>功能试验</w:t>
      </w:r>
    </w:p>
    <w:p w14:paraId="759DB30B">
      <w:pPr>
        <w:widowControl/>
        <w:ind w:firstLine="420" w:firstLineChars="200"/>
        <w:rPr>
          <w:b w:val="0"/>
          <w:bCs/>
          <w:color w:val="auto"/>
          <w:szCs w:val="21"/>
        </w:rPr>
      </w:pPr>
      <w:r>
        <w:rPr>
          <w:rFonts w:hint="eastAsia"/>
          <w:b w:val="0"/>
          <w:bCs/>
          <w:color w:val="auto"/>
          <w:szCs w:val="21"/>
        </w:rPr>
        <w:t>当馈线故障发生时</w:t>
      </w:r>
      <w:r>
        <w:rPr>
          <w:b w:val="0"/>
          <w:bCs/>
          <w:color w:val="auto"/>
          <w:szCs w:val="21"/>
        </w:rPr>
        <w:t>可向配电自动化主站正确上送过流告警和零序告警信息，接收并执行配电自动化主站遥控命令。</w:t>
      </w:r>
    </w:p>
    <w:p w14:paraId="2ED59AD8">
      <w:pPr>
        <w:pStyle w:val="7"/>
        <w:rPr>
          <w:rFonts w:ascii="黑体" w:hAnsi="黑体" w:eastAsia="黑体"/>
          <w:b w:val="0"/>
          <w:color w:val="auto"/>
          <w:sz w:val="21"/>
        </w:rPr>
      </w:pPr>
      <w:r>
        <w:rPr>
          <w:rFonts w:hint="eastAsia" w:ascii="黑体" w:hAnsi="黑体" w:eastAsia="黑体"/>
          <w:b w:val="0"/>
          <w:color w:val="auto"/>
          <w:sz w:val="21"/>
        </w:rPr>
        <w:t>7.10.</w:t>
      </w:r>
      <w:r>
        <w:rPr>
          <w:rFonts w:ascii="黑体" w:hAnsi="黑体" w:eastAsia="黑体"/>
          <w:b w:val="0"/>
          <w:color w:val="auto"/>
          <w:sz w:val="21"/>
        </w:rPr>
        <w:t>2</w:t>
      </w:r>
      <w:r>
        <w:rPr>
          <w:rFonts w:hint="eastAsia" w:ascii="黑体" w:hAnsi="黑体" w:eastAsia="黑体"/>
          <w:b w:val="0"/>
          <w:color w:val="auto"/>
          <w:sz w:val="21"/>
        </w:rPr>
        <w:t>常规保护功能试验</w:t>
      </w:r>
    </w:p>
    <w:p w14:paraId="290D0498">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过流保护动作值整定为5.0A（二次值） 重合闸次数整定为2次； 一次重合闸延时整定为5s；二次重合闸延时整定为60s；重合闸闭锁时间3s；重合闸复归时间设为120s。</w:t>
      </w:r>
    </w:p>
    <w:p w14:paraId="0D43C63C">
      <w:pPr>
        <w:widowControl/>
        <w:rPr>
          <w:rFonts w:ascii="宋体" w:hAnsi="宋体" w:eastAsia="宋体" w:cs="宋体"/>
          <w:b w:val="0"/>
          <w:bCs/>
          <w:color w:val="auto"/>
          <w:highlight w:val="yellow"/>
        </w:rPr>
      </w:pPr>
      <w:r>
        <w:rPr>
          <w:rFonts w:hint="eastAsia" w:ascii="宋体" w:hAnsi="宋体" w:eastAsia="宋体" w:cs="宋体"/>
          <w:b w:val="0"/>
          <w:bCs/>
          <w:color w:val="auto"/>
        </w:rPr>
        <w:t xml:space="preserve">    </w:t>
      </w:r>
      <w:r>
        <w:rPr>
          <w:rFonts w:hint="eastAsia" w:ascii="宋体" w:hAnsi="宋体" w:eastAsia="宋体" w:cs="宋体"/>
          <w:b w:val="0"/>
          <w:bCs/>
          <w:color w:val="auto"/>
          <w:szCs w:val="21"/>
        </w:rPr>
        <w:t>装置在重合闸闭锁时间内检测到故障时，装置应能闭锁重合闸功能。装置在重合闸闭锁时间外检测到故障时，装置应能重合闸。装置在重合闸复归时间外检测到故障时，应能重新进行重合闸。</w:t>
      </w:r>
    </w:p>
    <w:p w14:paraId="45042BBF">
      <w:pPr>
        <w:pStyle w:val="7"/>
        <w:rPr>
          <w:rFonts w:ascii="黑体" w:hAnsi="黑体" w:eastAsia="黑体"/>
          <w:b w:val="0"/>
          <w:color w:val="auto"/>
          <w:sz w:val="21"/>
        </w:rPr>
      </w:pPr>
      <w:r>
        <w:rPr>
          <w:rFonts w:hint="eastAsia" w:ascii="黑体" w:hAnsi="黑体" w:eastAsia="黑体"/>
          <w:b w:val="0"/>
          <w:color w:val="auto"/>
          <w:sz w:val="21"/>
        </w:rPr>
        <w:t>7.10.</w:t>
      </w:r>
      <w:r>
        <w:rPr>
          <w:rFonts w:ascii="黑体" w:hAnsi="黑体" w:eastAsia="黑体"/>
          <w:b w:val="0"/>
          <w:color w:val="auto"/>
          <w:sz w:val="21"/>
        </w:rPr>
        <w:t>3 就地FA功能</w:t>
      </w:r>
      <w:r>
        <w:rPr>
          <w:rFonts w:hint="eastAsia" w:ascii="黑体" w:hAnsi="黑体" w:eastAsia="黑体"/>
          <w:b w:val="0"/>
          <w:color w:val="auto"/>
          <w:sz w:val="21"/>
        </w:rPr>
        <w:t>试验</w:t>
      </w:r>
    </w:p>
    <w:p w14:paraId="264461C4">
      <w:pPr>
        <w:widowControl/>
        <w:ind w:firstLine="420" w:firstLineChars="200"/>
        <w:rPr>
          <w:b w:val="0"/>
          <w:bCs/>
          <w:color w:val="auto"/>
          <w:szCs w:val="21"/>
        </w:rPr>
      </w:pPr>
      <w:r>
        <w:rPr>
          <w:rFonts w:hint="eastAsia"/>
          <w:b w:val="0"/>
          <w:bCs/>
          <w:color w:val="auto"/>
          <w:szCs w:val="21"/>
        </w:rPr>
        <w:t>兼容</w:t>
      </w:r>
      <w:r>
        <w:rPr>
          <w:b w:val="0"/>
          <w:bCs/>
          <w:color w:val="auto"/>
          <w:szCs w:val="21"/>
        </w:rPr>
        <w:t>就地馈线自动化功能</w:t>
      </w:r>
      <w:r>
        <w:rPr>
          <w:rFonts w:hint="eastAsia"/>
          <w:b w:val="0"/>
          <w:bCs/>
          <w:color w:val="auto"/>
          <w:szCs w:val="21"/>
        </w:rPr>
        <w:t>，功能</w:t>
      </w:r>
      <w:r>
        <w:rPr>
          <w:b w:val="0"/>
          <w:bCs/>
          <w:color w:val="auto"/>
          <w:szCs w:val="21"/>
        </w:rPr>
        <w:t>包括分段及联络两种工作模式，这两种工作模式相互独立，通过软压板进行灵活投退。分段模式：单侧得电延时合闸功能；双侧失电延时分闸功能；反向闭锁合闸功能；正向闭锁合闸功能；双侧有压禁止合闸功能；合闸至故障失压分闸并闭锁合闸功能；人工分闸（含就地控制器分闸、开关本体拉杆分闸、远方遥控分闸方式，下同）闭锁来压合闸功能；</w:t>
      </w:r>
      <w:r>
        <w:rPr>
          <w:rFonts w:hint="eastAsia"/>
          <w:b w:val="0"/>
          <w:bCs/>
          <w:color w:val="auto"/>
          <w:szCs w:val="21"/>
        </w:rPr>
        <w:t>联络模式：双侧失电延时分闸功能，单侧失压延时合闸功能；人工分闸闭锁合闸功能。</w:t>
      </w:r>
    </w:p>
    <w:p w14:paraId="7564A6AA">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7.11 成套设备通讯功能试验</w:t>
      </w:r>
    </w:p>
    <w:p w14:paraId="719BF91B">
      <w:pPr>
        <w:pStyle w:val="7"/>
        <w:rPr>
          <w:rFonts w:ascii="黑体" w:hAnsi="黑体" w:eastAsia="黑体"/>
          <w:b w:val="0"/>
          <w:color w:val="auto"/>
          <w:sz w:val="21"/>
        </w:rPr>
      </w:pPr>
      <w:r>
        <w:rPr>
          <w:rFonts w:hint="eastAsia" w:ascii="黑体" w:hAnsi="黑体" w:eastAsia="黑体"/>
          <w:b w:val="0"/>
          <w:color w:val="auto"/>
          <w:sz w:val="21"/>
        </w:rPr>
        <w:t>7.1</w:t>
      </w:r>
      <w:r>
        <w:rPr>
          <w:rFonts w:ascii="黑体" w:hAnsi="黑体" w:eastAsia="黑体"/>
          <w:b w:val="0"/>
          <w:color w:val="auto"/>
          <w:sz w:val="21"/>
        </w:rPr>
        <w:t>1</w:t>
      </w:r>
      <w:r>
        <w:rPr>
          <w:rFonts w:hint="eastAsia" w:ascii="黑体" w:hAnsi="黑体" w:eastAsia="黑体"/>
          <w:b w:val="0"/>
          <w:color w:val="auto"/>
          <w:sz w:val="21"/>
        </w:rPr>
        <w:t>.</w:t>
      </w:r>
      <w:r>
        <w:rPr>
          <w:rFonts w:ascii="黑体" w:hAnsi="黑体" w:eastAsia="黑体"/>
          <w:b w:val="0"/>
          <w:color w:val="auto"/>
          <w:sz w:val="21"/>
        </w:rPr>
        <w:t>1</w:t>
      </w:r>
      <w:r>
        <w:rPr>
          <w:rFonts w:hint="eastAsia" w:ascii="黑体" w:hAnsi="黑体" w:eastAsia="黑体"/>
          <w:b w:val="0"/>
          <w:color w:val="auto"/>
          <w:sz w:val="21"/>
        </w:rPr>
        <w:t>规约试验</w:t>
      </w:r>
    </w:p>
    <w:p w14:paraId="32F158F4">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配电自动化终端及子站的通信规约应支持 DL/T 634.5101 , DL/T 634.5104 规约，宜支持 DL/T 860 (IEC 61850) 传输协议。可以按照主站要求灵活配置转发点表及 101 规约、104 规约约定的通信协议。</w:t>
      </w:r>
    </w:p>
    <w:p w14:paraId="5457AD6D">
      <w:pPr>
        <w:pStyle w:val="7"/>
        <w:rPr>
          <w:rFonts w:ascii="黑体" w:hAnsi="黑体" w:eastAsia="黑体"/>
          <w:b w:val="0"/>
          <w:color w:val="auto"/>
          <w:sz w:val="21"/>
        </w:rPr>
      </w:pPr>
      <w:r>
        <w:rPr>
          <w:rFonts w:ascii="黑体" w:hAnsi="黑体" w:eastAsia="黑体"/>
          <w:b w:val="0"/>
          <w:color w:val="auto"/>
          <w:sz w:val="21"/>
        </w:rPr>
        <w:t>7.11.2</w:t>
      </w:r>
      <w:r>
        <w:rPr>
          <w:rFonts w:hint="eastAsia" w:ascii="黑体" w:hAnsi="黑体" w:eastAsia="黑体"/>
          <w:b w:val="0"/>
          <w:color w:val="auto"/>
          <w:sz w:val="21"/>
        </w:rPr>
        <w:t xml:space="preserve"> 通讯中断</w:t>
      </w:r>
      <w:r>
        <w:rPr>
          <w:rFonts w:ascii="黑体" w:hAnsi="黑体" w:eastAsia="黑体"/>
          <w:b w:val="0"/>
          <w:color w:val="auto"/>
          <w:sz w:val="21"/>
        </w:rPr>
        <w:t>续传</w:t>
      </w:r>
      <w:r>
        <w:rPr>
          <w:rFonts w:hint="eastAsia" w:ascii="黑体" w:hAnsi="黑体" w:eastAsia="黑体"/>
          <w:b w:val="0"/>
          <w:color w:val="auto"/>
          <w:sz w:val="21"/>
        </w:rPr>
        <w:t>试验</w:t>
      </w:r>
    </w:p>
    <w:p w14:paraId="5E8AF99C">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通信中断或掉电重启时未发送的事件顺序记录SOE应在通信恢复时补发，且不重发多发信息。</w:t>
      </w:r>
    </w:p>
    <w:p w14:paraId="3CC087C2">
      <w:pPr>
        <w:pStyle w:val="7"/>
        <w:rPr>
          <w:rFonts w:ascii="黑体" w:hAnsi="黑体" w:eastAsia="黑体"/>
          <w:b w:val="0"/>
          <w:color w:val="auto"/>
          <w:sz w:val="21"/>
        </w:rPr>
      </w:pPr>
      <w:r>
        <w:rPr>
          <w:rFonts w:ascii="黑体" w:hAnsi="黑体" w:eastAsia="黑体"/>
          <w:b w:val="0"/>
          <w:color w:val="auto"/>
          <w:sz w:val="21"/>
        </w:rPr>
        <w:t>7.11.3</w:t>
      </w:r>
      <w:r>
        <w:rPr>
          <w:rFonts w:hint="eastAsia" w:ascii="黑体" w:hAnsi="黑体" w:eastAsia="黑体"/>
          <w:b w:val="0"/>
          <w:color w:val="auto"/>
          <w:sz w:val="21"/>
        </w:rPr>
        <w:t>与两个主站通信试验</w:t>
      </w:r>
    </w:p>
    <w:p w14:paraId="35132BB3">
      <w:pPr>
        <w:widowControl/>
        <w:ind w:firstLine="420" w:firstLineChars="200"/>
        <w:rPr>
          <w:b w:val="0"/>
          <w:bCs/>
          <w:color w:val="auto"/>
          <w:szCs w:val="21"/>
        </w:rPr>
      </w:pPr>
      <w:r>
        <w:rPr>
          <w:rFonts w:hint="eastAsia"/>
          <w:b w:val="0"/>
          <w:bCs/>
          <w:color w:val="auto"/>
          <w:szCs w:val="21"/>
        </w:rPr>
        <w:t>远方终端的两个通信口分别与模拟主站相连，通电后在主站屏幕上核对遥测数据、遥信状态、站内分辨率等的正确性，两个主站不能同时遥控同一开关。</w:t>
      </w:r>
    </w:p>
    <w:p w14:paraId="78C3F221">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7.12成套设备电源试验</w:t>
      </w:r>
    </w:p>
    <w:p w14:paraId="2201E0E7">
      <w:pPr>
        <w:pStyle w:val="7"/>
        <w:rPr>
          <w:rFonts w:ascii="黑体" w:hAnsi="黑体" w:eastAsia="黑体"/>
          <w:b w:val="0"/>
          <w:color w:val="auto"/>
          <w:sz w:val="21"/>
        </w:rPr>
      </w:pPr>
      <w:r>
        <w:rPr>
          <w:rFonts w:ascii="黑体" w:hAnsi="黑体" w:eastAsia="黑体"/>
          <w:b w:val="0"/>
          <w:color w:val="auto"/>
          <w:sz w:val="21"/>
        </w:rPr>
        <w:t>7.12.1</w:t>
      </w:r>
      <w:r>
        <w:rPr>
          <w:rFonts w:hint="eastAsia" w:ascii="黑体" w:hAnsi="黑体" w:eastAsia="黑体"/>
          <w:b w:val="0"/>
          <w:color w:val="auto"/>
          <w:sz w:val="21"/>
        </w:rPr>
        <w:t>整机功耗试验</w:t>
      </w:r>
    </w:p>
    <w:p w14:paraId="3F242672">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要用伏安法测试其整机的功耗，成套设备整机功耗不大于20W。（不含开关动作、开关储能、外部通信供电）。</w:t>
      </w:r>
    </w:p>
    <w:p w14:paraId="332C6946">
      <w:pPr>
        <w:pStyle w:val="7"/>
        <w:rPr>
          <w:rFonts w:ascii="黑体" w:hAnsi="黑体" w:eastAsia="黑体"/>
          <w:b w:val="0"/>
          <w:color w:val="auto"/>
          <w:sz w:val="21"/>
        </w:rPr>
      </w:pPr>
      <w:r>
        <w:rPr>
          <w:rFonts w:ascii="黑体" w:hAnsi="黑体" w:eastAsia="黑体"/>
          <w:b w:val="0"/>
          <w:color w:val="auto"/>
          <w:sz w:val="21"/>
        </w:rPr>
        <w:t>7.12.2</w:t>
      </w:r>
      <w:r>
        <w:rPr>
          <w:rFonts w:hint="eastAsia" w:ascii="黑体" w:hAnsi="黑体" w:eastAsia="黑体"/>
          <w:b w:val="0"/>
          <w:color w:val="auto"/>
          <w:sz w:val="21"/>
        </w:rPr>
        <w:t>电源输出功率</w:t>
      </w:r>
    </w:p>
    <w:p w14:paraId="6E476D06">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电源额定输入电压交流为AC220V，输出直流为DC48V。采用电子负载作为负载进行试验，电源模块额定输出功率不小于500W；电源模块瞬时输出功率不小于1000W，最大电流不小于20A，持续时间不小于200ms。</w:t>
      </w:r>
    </w:p>
    <w:p w14:paraId="7B29F6B4">
      <w:pPr>
        <w:pStyle w:val="6"/>
        <w:spacing w:before="0" w:after="0" w:line="360" w:lineRule="auto"/>
        <w:rPr>
          <w:rFonts w:hint="eastAsia" w:ascii="黑体" w:hAnsi="黑体" w:eastAsia="黑体" w:cs="黑体"/>
          <w:b w:val="0"/>
          <w:bCs/>
          <w:color w:val="auto"/>
          <w:sz w:val="21"/>
          <w:szCs w:val="21"/>
        </w:rPr>
      </w:pPr>
      <w:r>
        <w:rPr>
          <w:rFonts w:hint="eastAsia" w:ascii="黑体" w:hAnsi="黑体" w:eastAsia="黑体" w:cs="黑体"/>
          <w:b w:val="0"/>
          <w:bCs/>
          <w:color w:val="auto"/>
          <w:sz w:val="21"/>
          <w:szCs w:val="21"/>
        </w:rPr>
        <w:t>7.13环境试验</w:t>
      </w:r>
    </w:p>
    <w:p w14:paraId="223121B8">
      <w:pPr>
        <w:pStyle w:val="7"/>
        <w:rPr>
          <w:rFonts w:ascii="黑体" w:hAnsi="黑体" w:eastAsia="黑体"/>
          <w:b w:val="0"/>
          <w:color w:val="auto"/>
          <w:sz w:val="21"/>
        </w:rPr>
      </w:pPr>
      <w:r>
        <w:rPr>
          <w:rFonts w:hint="eastAsia" w:ascii="黑体" w:hAnsi="黑体" w:eastAsia="黑体"/>
          <w:b w:val="0"/>
          <w:color w:val="auto"/>
          <w:sz w:val="21"/>
        </w:rPr>
        <w:t>7.</w:t>
      </w:r>
      <w:r>
        <w:rPr>
          <w:rFonts w:ascii="黑体" w:hAnsi="黑体" w:eastAsia="黑体"/>
          <w:b w:val="0"/>
          <w:color w:val="auto"/>
          <w:sz w:val="21"/>
        </w:rPr>
        <w:t>13</w:t>
      </w:r>
      <w:r>
        <w:rPr>
          <w:rFonts w:hint="eastAsia" w:ascii="黑体" w:hAnsi="黑体" w:eastAsia="黑体"/>
          <w:b w:val="0"/>
          <w:color w:val="auto"/>
          <w:sz w:val="21"/>
        </w:rPr>
        <w:t>.1低温试验</w:t>
      </w:r>
    </w:p>
    <w:p w14:paraId="6E850AD9">
      <w:pPr>
        <w:widowControl/>
        <w:ind w:firstLine="420" w:firstLineChars="200"/>
        <w:rPr>
          <w:rFonts w:ascii="宋体" w:hAnsi="宋体" w:eastAsia="宋体" w:cs="宋体"/>
          <w:b w:val="0"/>
          <w:bCs/>
          <w:color w:val="auto"/>
          <w:szCs w:val="21"/>
        </w:rPr>
      </w:pPr>
      <w:r>
        <w:rPr>
          <w:rFonts w:hint="eastAsia" w:hAnsi="宋体"/>
          <w:b w:val="0"/>
          <w:bCs/>
          <w:color w:val="auto"/>
        </w:rPr>
        <w:t>SF</w:t>
      </w:r>
      <w:r>
        <w:rPr>
          <w:rFonts w:hint="eastAsia" w:hAnsi="宋体"/>
          <w:b w:val="0"/>
          <w:bCs/>
          <w:color w:val="auto"/>
          <w:vertAlign w:val="subscript"/>
        </w:rPr>
        <w:t>6</w:t>
      </w:r>
      <w:r>
        <w:rPr>
          <w:rFonts w:hint="eastAsia" w:hAnsi="宋体"/>
          <w:b w:val="0"/>
          <w:bCs/>
          <w:color w:val="auto"/>
        </w:rPr>
        <w:t>气体全绝缘环网开关</w:t>
      </w:r>
      <w:r>
        <w:rPr>
          <w:rFonts w:hint="eastAsia" w:ascii="宋体" w:hAnsi="宋体" w:eastAsia="宋体" w:cs="宋体"/>
          <w:b w:val="0"/>
          <w:bCs/>
          <w:color w:val="auto"/>
        </w:rPr>
        <w:t>设备，</w:t>
      </w:r>
      <w:r>
        <w:rPr>
          <w:rFonts w:hint="eastAsia" w:ascii="宋体" w:hAnsi="宋体" w:eastAsia="宋体" w:cs="宋体"/>
          <w:b w:val="0"/>
          <w:bCs/>
          <w:color w:val="auto"/>
          <w:szCs w:val="21"/>
        </w:rPr>
        <w:t xml:space="preserve">在-25°C试验温度下保持时间为2h后，进行如下检查和试验： </w:t>
      </w:r>
    </w:p>
    <w:p w14:paraId="4F1CE139">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 xml:space="preserve">（1）检测基本功能及遥信、遥控功能正常。 </w:t>
      </w:r>
    </w:p>
    <w:p w14:paraId="1AF68B44">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 xml:space="preserve">（2）进行准确度试验（成套），误差不应超限。 </w:t>
      </w:r>
    </w:p>
    <w:p w14:paraId="02DC958D">
      <w:pPr>
        <w:pStyle w:val="7"/>
        <w:rPr>
          <w:rFonts w:ascii="黑体" w:hAnsi="黑体" w:eastAsia="黑体"/>
          <w:b w:val="0"/>
          <w:color w:val="auto"/>
          <w:sz w:val="21"/>
        </w:rPr>
      </w:pPr>
      <w:r>
        <w:rPr>
          <w:rFonts w:hint="eastAsia" w:ascii="黑体" w:hAnsi="黑体" w:eastAsia="黑体"/>
          <w:b w:val="0"/>
          <w:color w:val="auto"/>
          <w:sz w:val="21"/>
        </w:rPr>
        <w:t>7.</w:t>
      </w:r>
      <w:r>
        <w:rPr>
          <w:rFonts w:ascii="黑体" w:hAnsi="黑体" w:eastAsia="黑体"/>
          <w:b w:val="0"/>
          <w:color w:val="auto"/>
          <w:sz w:val="21"/>
        </w:rPr>
        <w:t>13</w:t>
      </w:r>
      <w:r>
        <w:rPr>
          <w:rFonts w:hint="eastAsia" w:ascii="黑体" w:hAnsi="黑体" w:eastAsia="黑体"/>
          <w:b w:val="0"/>
          <w:color w:val="auto"/>
          <w:sz w:val="21"/>
        </w:rPr>
        <w:t>.2高温试验</w:t>
      </w:r>
    </w:p>
    <w:p w14:paraId="5B156379">
      <w:pPr>
        <w:widowControl/>
        <w:ind w:firstLine="594" w:firstLineChars="300"/>
        <w:rPr>
          <w:rFonts w:ascii="宋体" w:hAnsi="宋体" w:eastAsia="宋体" w:cs="宋体"/>
          <w:b w:val="0"/>
          <w:bCs/>
          <w:color w:val="auto"/>
          <w:szCs w:val="21"/>
        </w:rPr>
      </w:pPr>
      <w:r>
        <w:rPr>
          <w:rFonts w:hint="eastAsia" w:ascii="宋体" w:hAnsi="宋体" w:eastAsia="宋体" w:cs="宋体"/>
          <w:b w:val="0"/>
          <w:bCs/>
          <w:color w:val="auto"/>
          <w:spacing w:val="-6"/>
          <w:szCs w:val="21"/>
        </w:rPr>
        <w:t xml:space="preserve"> </w:t>
      </w:r>
      <w:r>
        <w:rPr>
          <w:rFonts w:hint="eastAsia" w:hAnsi="宋体"/>
          <w:b w:val="0"/>
          <w:bCs/>
          <w:color w:val="auto"/>
        </w:rPr>
        <w:t>SF</w:t>
      </w:r>
      <w:r>
        <w:rPr>
          <w:rFonts w:hint="eastAsia" w:hAnsi="宋体"/>
          <w:b w:val="0"/>
          <w:bCs/>
          <w:color w:val="auto"/>
          <w:vertAlign w:val="subscript"/>
        </w:rPr>
        <w:t>6</w:t>
      </w:r>
      <w:r>
        <w:rPr>
          <w:rFonts w:hint="eastAsia" w:hAnsi="宋体"/>
          <w:b w:val="0"/>
          <w:bCs/>
          <w:color w:val="auto"/>
        </w:rPr>
        <w:t>气体全绝缘环网开关</w:t>
      </w:r>
      <w:r>
        <w:rPr>
          <w:rFonts w:hint="eastAsia" w:ascii="宋体" w:hAnsi="宋体" w:eastAsia="宋体" w:cs="宋体"/>
          <w:b w:val="0"/>
          <w:bCs/>
          <w:color w:val="auto"/>
        </w:rPr>
        <w:t>设备，</w:t>
      </w:r>
      <w:r>
        <w:rPr>
          <w:rFonts w:hint="eastAsia" w:ascii="宋体" w:hAnsi="宋体" w:eastAsia="宋体" w:cs="宋体"/>
          <w:b w:val="0"/>
          <w:bCs/>
          <w:color w:val="auto"/>
          <w:szCs w:val="21"/>
        </w:rPr>
        <w:t>在55℃试验温度下，保持时间为2h后，进行如下检查和试验：</w:t>
      </w:r>
    </w:p>
    <w:p w14:paraId="166FA0B3">
      <w:pPr>
        <w:widowControl/>
        <w:ind w:firstLine="630" w:firstLineChars="300"/>
        <w:rPr>
          <w:rFonts w:ascii="宋体" w:hAnsi="宋体" w:eastAsia="宋体" w:cs="宋体"/>
          <w:b w:val="0"/>
          <w:bCs/>
          <w:color w:val="auto"/>
          <w:szCs w:val="21"/>
        </w:rPr>
      </w:pPr>
      <w:r>
        <w:rPr>
          <w:rFonts w:hint="eastAsia" w:ascii="宋体" w:hAnsi="宋体" w:eastAsia="宋体" w:cs="宋体"/>
          <w:b w:val="0"/>
          <w:bCs/>
          <w:color w:val="auto"/>
          <w:szCs w:val="21"/>
        </w:rPr>
        <w:t>（1）检测基本功能及遥信、遥控功能正常。</w:t>
      </w:r>
    </w:p>
    <w:p w14:paraId="66BB2FB7">
      <w:pPr>
        <w:widowControl/>
        <w:ind w:firstLine="630" w:firstLineChars="300"/>
        <w:rPr>
          <w:rFonts w:ascii="宋体" w:hAnsi="宋体" w:eastAsia="宋体" w:cs="宋体"/>
          <w:b w:val="0"/>
          <w:bCs/>
          <w:color w:val="auto"/>
          <w:szCs w:val="21"/>
        </w:rPr>
      </w:pPr>
      <w:r>
        <w:rPr>
          <w:rFonts w:hint="eastAsia" w:ascii="宋体" w:hAnsi="宋体" w:eastAsia="宋体" w:cs="宋体"/>
          <w:b w:val="0"/>
          <w:bCs/>
          <w:color w:val="auto"/>
          <w:szCs w:val="21"/>
        </w:rPr>
        <w:t>（2）进行准确度试验（成套），误差不应超限。</w:t>
      </w:r>
    </w:p>
    <w:p w14:paraId="7AE7B14F">
      <w:pPr>
        <w:pStyle w:val="6"/>
        <w:spacing w:before="0" w:after="0" w:line="360" w:lineRule="auto"/>
        <w:rPr>
          <w:rFonts w:ascii="黑体" w:hAnsi="黑体" w:cs="黑体"/>
          <w:b w:val="0"/>
          <w:bCs/>
          <w:color w:val="auto"/>
          <w:sz w:val="21"/>
          <w:szCs w:val="21"/>
        </w:rPr>
      </w:pPr>
      <w:r>
        <w:rPr>
          <w:rFonts w:ascii="黑体" w:hAnsi="黑体" w:cs="黑体"/>
          <w:b w:val="0"/>
          <w:bCs/>
          <w:color w:val="auto"/>
          <w:sz w:val="21"/>
          <w:szCs w:val="21"/>
        </w:rPr>
        <w:t>7.14电磁兼容</w:t>
      </w:r>
      <w:r>
        <w:rPr>
          <w:rFonts w:hint="eastAsia" w:ascii="黑体" w:hAnsi="黑体" w:cs="黑体"/>
          <w:b w:val="0"/>
          <w:bCs/>
          <w:color w:val="auto"/>
          <w:sz w:val="21"/>
          <w:szCs w:val="21"/>
        </w:rPr>
        <w:t>试验</w:t>
      </w:r>
    </w:p>
    <w:p w14:paraId="4E413222">
      <w:pPr>
        <w:widowControl/>
        <w:ind w:firstLine="420" w:firstLineChars="200"/>
        <w:rPr>
          <w:b w:val="0"/>
          <w:bCs/>
          <w:color w:val="auto"/>
          <w:szCs w:val="21"/>
        </w:rPr>
      </w:pPr>
      <w:r>
        <w:rPr>
          <w:rFonts w:hint="eastAsia"/>
          <w:b w:val="0"/>
          <w:bCs/>
          <w:color w:val="auto"/>
          <w:szCs w:val="21"/>
        </w:rPr>
        <w:t>电磁兼容试验内容和方法参照</w:t>
      </w:r>
      <w:r>
        <w:rPr>
          <w:rFonts w:hint="eastAsia" w:ascii="宋体" w:hAnsi="宋体" w:eastAsia="宋体" w:cs="宋体"/>
          <w:b w:val="0"/>
          <w:bCs/>
          <w:color w:val="auto"/>
          <w:szCs w:val="21"/>
        </w:rPr>
        <w:t>GB/T 17626</w:t>
      </w:r>
      <w:r>
        <w:rPr>
          <w:rFonts w:hint="eastAsia"/>
          <w:b w:val="0"/>
          <w:bCs/>
          <w:color w:val="auto"/>
          <w:szCs w:val="21"/>
        </w:rPr>
        <w:t>相关规定。</w:t>
      </w:r>
    </w:p>
    <w:p w14:paraId="65692BD7">
      <w:pPr>
        <w:pStyle w:val="5"/>
        <w:spacing w:before="0" w:after="0" w:line="360" w:lineRule="auto"/>
        <w:rPr>
          <w:rFonts w:ascii="黑体" w:hAnsi="黑体"/>
          <w:b w:val="0"/>
          <w:bCs/>
          <w:color w:val="auto"/>
          <w:sz w:val="21"/>
          <w:szCs w:val="21"/>
        </w:rPr>
      </w:pPr>
      <w:r>
        <w:rPr>
          <w:rFonts w:hint="eastAsia" w:ascii="黑体" w:hAnsi="黑体"/>
          <w:b w:val="0"/>
          <w:bCs/>
          <w:color w:val="auto"/>
          <w:sz w:val="21"/>
          <w:szCs w:val="21"/>
        </w:rPr>
        <w:t xml:space="preserve">8 </w:t>
      </w:r>
      <w:r>
        <w:rPr>
          <w:rFonts w:ascii="黑体" w:hAnsi="黑体"/>
          <w:b w:val="0"/>
          <w:bCs/>
          <w:color w:val="auto"/>
          <w:sz w:val="21"/>
          <w:szCs w:val="21"/>
        </w:rPr>
        <w:t>试验分类</w:t>
      </w:r>
    </w:p>
    <w:p w14:paraId="3B005DB2">
      <w:pPr>
        <w:pStyle w:val="6"/>
        <w:spacing w:before="0" w:after="0" w:line="360" w:lineRule="auto"/>
        <w:rPr>
          <w:rFonts w:hint="eastAsia" w:ascii="黑体" w:hAnsi="黑体" w:eastAsia="黑体" w:cs="黑体"/>
          <w:b w:val="0"/>
          <w:bCs/>
          <w:color w:val="auto"/>
          <w:sz w:val="21"/>
          <w:szCs w:val="21"/>
        </w:rPr>
      </w:pPr>
      <w:bookmarkStart w:id="126" w:name="_Toc12587_WPSOffice_Level2"/>
      <w:r>
        <w:rPr>
          <w:rFonts w:hint="eastAsia" w:ascii="黑体" w:hAnsi="黑体" w:eastAsia="黑体" w:cs="黑体"/>
          <w:b w:val="0"/>
          <w:bCs/>
          <w:color w:val="auto"/>
          <w:sz w:val="21"/>
          <w:szCs w:val="21"/>
        </w:rPr>
        <w:t>8.1 试验项目</w:t>
      </w:r>
      <w:bookmarkEnd w:id="126"/>
      <w:r>
        <w:rPr>
          <w:rFonts w:hint="eastAsia" w:ascii="黑体" w:hAnsi="黑体" w:eastAsia="黑体" w:cs="黑体"/>
          <w:b w:val="0"/>
          <w:bCs/>
          <w:color w:val="auto"/>
          <w:sz w:val="21"/>
          <w:szCs w:val="21"/>
        </w:rPr>
        <w:t xml:space="preserve"> </w:t>
      </w:r>
    </w:p>
    <w:p w14:paraId="78132C9C">
      <w:pPr>
        <w:widowControl/>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SF</w:t>
      </w:r>
      <w:r>
        <w:rPr>
          <w:rFonts w:ascii="宋体" w:hAnsi="宋体" w:eastAsia="宋体" w:cs="宋体"/>
          <w:b w:val="0"/>
          <w:bCs/>
          <w:color w:val="auto"/>
          <w:szCs w:val="21"/>
          <w:vertAlign w:val="subscript"/>
        </w:rPr>
        <w:t>6</w:t>
      </w:r>
      <w:r>
        <w:rPr>
          <w:rFonts w:hint="eastAsia" w:ascii="宋体" w:hAnsi="宋体" w:eastAsia="宋体" w:cs="宋体"/>
          <w:b w:val="0"/>
          <w:bCs/>
          <w:color w:val="auto"/>
          <w:szCs w:val="21"/>
        </w:rPr>
        <w:t>气体全绝缘环网开关柜和配电自动化终端应分别按照GB/T 1984、GB/T 16926、GB/T 3804、GB/T 3906、GB/T 11022、GB/T 13729、DL/T403、DL/T404、DL/T593、DL/T 721、DL/T 1529等有关国家标准和行业标准规定的项目、方法进行单独试验。</w:t>
      </w:r>
    </w:p>
    <w:p w14:paraId="6BF306B1">
      <w:pPr>
        <w:ind w:firstLine="420" w:firstLineChars="200"/>
        <w:rPr>
          <w:rFonts w:ascii="宋体" w:hAnsi="宋体" w:eastAsia="宋体" w:cs="宋体"/>
          <w:b w:val="0"/>
          <w:bCs/>
          <w:color w:val="auto"/>
          <w:szCs w:val="21"/>
        </w:rPr>
      </w:pPr>
      <w:r>
        <w:rPr>
          <w:rFonts w:hint="eastAsia" w:ascii="宋体" w:hAnsi="宋体" w:eastAsia="宋体" w:cs="宋体"/>
          <w:b w:val="0"/>
          <w:bCs/>
          <w:color w:val="auto"/>
          <w:szCs w:val="21"/>
        </w:rPr>
        <w:t>SF</w:t>
      </w:r>
      <w:r>
        <w:rPr>
          <w:rFonts w:ascii="宋体" w:hAnsi="宋体" w:eastAsia="宋体" w:cs="宋体"/>
          <w:b w:val="0"/>
          <w:bCs/>
          <w:color w:val="auto"/>
          <w:szCs w:val="21"/>
          <w:vertAlign w:val="subscript"/>
        </w:rPr>
        <w:t>6</w:t>
      </w:r>
      <w:r>
        <w:rPr>
          <w:rFonts w:hint="eastAsia" w:ascii="宋体" w:hAnsi="宋体" w:eastAsia="宋体" w:cs="宋体"/>
          <w:b w:val="0"/>
          <w:bCs/>
          <w:color w:val="auto"/>
          <w:szCs w:val="21"/>
        </w:rPr>
        <w:t>气体全绝缘环网开关柜自动化成套设备的各项试验可参考表8-1。</w:t>
      </w:r>
    </w:p>
    <w:p w14:paraId="043E4A61">
      <w:pPr>
        <w:pStyle w:val="49"/>
        <w:tabs>
          <w:tab w:val="clear" w:pos="678"/>
        </w:tabs>
        <w:ind w:left="0" w:firstLine="0"/>
        <w:rPr>
          <w:rFonts w:eastAsiaTheme="minorEastAsia"/>
          <w:b w:val="0"/>
          <w:bCs/>
          <w:color w:val="auto"/>
          <w:szCs w:val="22"/>
        </w:rPr>
      </w:pPr>
      <w:r>
        <w:rPr>
          <w:rFonts w:hint="eastAsia" w:eastAsiaTheme="minorEastAsia"/>
          <w:b w:val="0"/>
          <w:bCs/>
          <w:color w:val="auto"/>
          <w:szCs w:val="22"/>
        </w:rPr>
        <w:t>表</w:t>
      </w:r>
      <w:r>
        <w:rPr>
          <w:rFonts w:hint="eastAsia" w:ascii="宋体" w:hAnsi="宋体" w:eastAsia="宋体" w:cs="宋体"/>
          <w:b w:val="0"/>
          <w:bCs/>
          <w:color w:val="auto"/>
          <w:szCs w:val="22"/>
        </w:rPr>
        <w:t xml:space="preserve">8-1 </w:t>
      </w:r>
      <w:r>
        <w:rPr>
          <w:rFonts w:hint="eastAsia" w:eastAsiaTheme="minorEastAsia"/>
          <w:b w:val="0"/>
          <w:bCs/>
          <w:color w:val="auto"/>
          <w:szCs w:val="22"/>
        </w:rPr>
        <w:t>试验项目清单</w:t>
      </w:r>
    </w:p>
    <w:tbl>
      <w:tblPr>
        <w:tblStyle w:val="25"/>
        <w:tblW w:w="83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2820"/>
        <w:gridCol w:w="1120"/>
        <w:gridCol w:w="1120"/>
        <w:gridCol w:w="932"/>
        <w:gridCol w:w="992"/>
        <w:gridCol w:w="709"/>
      </w:tblGrid>
      <w:tr w14:paraId="018762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305156F5">
            <w:pPr>
              <w:jc w:val="center"/>
              <w:rPr>
                <w:b w:val="0"/>
                <w:bCs/>
                <w:color w:val="auto"/>
                <w:szCs w:val="21"/>
              </w:rPr>
            </w:pPr>
            <w:r>
              <w:rPr>
                <w:b w:val="0"/>
                <w:bCs/>
                <w:color w:val="auto"/>
                <w:szCs w:val="21"/>
              </w:rPr>
              <w:t>序号</w:t>
            </w:r>
          </w:p>
        </w:tc>
        <w:tc>
          <w:tcPr>
            <w:tcW w:w="2820" w:type="dxa"/>
            <w:vAlign w:val="center"/>
          </w:tcPr>
          <w:p w14:paraId="45CF4DAE">
            <w:pPr>
              <w:widowControl/>
              <w:jc w:val="center"/>
              <w:rPr>
                <w:b w:val="0"/>
                <w:bCs/>
                <w:color w:val="auto"/>
                <w:szCs w:val="21"/>
              </w:rPr>
            </w:pPr>
            <w:r>
              <w:rPr>
                <w:b w:val="0"/>
                <w:bCs/>
                <w:color w:val="auto"/>
                <w:szCs w:val="21"/>
              </w:rPr>
              <w:t>试验项目</w:t>
            </w:r>
          </w:p>
        </w:tc>
        <w:tc>
          <w:tcPr>
            <w:tcW w:w="1120" w:type="dxa"/>
            <w:vAlign w:val="center"/>
          </w:tcPr>
          <w:p w14:paraId="520400BB">
            <w:pPr>
              <w:jc w:val="center"/>
              <w:rPr>
                <w:b w:val="0"/>
                <w:bCs/>
                <w:color w:val="auto"/>
                <w:szCs w:val="21"/>
              </w:rPr>
            </w:pPr>
            <w:r>
              <w:rPr>
                <w:b w:val="0"/>
                <w:bCs/>
                <w:color w:val="auto"/>
                <w:szCs w:val="21"/>
              </w:rPr>
              <w:t>出厂试验</w:t>
            </w:r>
          </w:p>
        </w:tc>
        <w:tc>
          <w:tcPr>
            <w:tcW w:w="1120" w:type="dxa"/>
            <w:vAlign w:val="center"/>
          </w:tcPr>
          <w:p w14:paraId="3A60EE1B">
            <w:pPr>
              <w:jc w:val="center"/>
              <w:rPr>
                <w:b w:val="0"/>
                <w:bCs/>
                <w:color w:val="auto"/>
                <w:szCs w:val="21"/>
              </w:rPr>
            </w:pPr>
            <w:r>
              <w:rPr>
                <w:b w:val="0"/>
                <w:bCs/>
                <w:color w:val="auto"/>
                <w:szCs w:val="21"/>
              </w:rPr>
              <w:t>交接试验</w:t>
            </w:r>
          </w:p>
        </w:tc>
        <w:tc>
          <w:tcPr>
            <w:tcW w:w="932" w:type="dxa"/>
            <w:vAlign w:val="center"/>
          </w:tcPr>
          <w:p w14:paraId="43693BA3">
            <w:pPr>
              <w:jc w:val="center"/>
              <w:rPr>
                <w:b w:val="0"/>
                <w:bCs/>
                <w:color w:val="auto"/>
                <w:szCs w:val="21"/>
              </w:rPr>
            </w:pPr>
            <w:r>
              <w:rPr>
                <w:rFonts w:hint="eastAsia"/>
                <w:b w:val="0"/>
                <w:bCs/>
                <w:color w:val="auto"/>
                <w:szCs w:val="21"/>
              </w:rPr>
              <w:t>入网专业检测</w:t>
            </w:r>
          </w:p>
        </w:tc>
        <w:tc>
          <w:tcPr>
            <w:tcW w:w="992" w:type="dxa"/>
            <w:vAlign w:val="center"/>
          </w:tcPr>
          <w:p w14:paraId="07EBEDD9">
            <w:pPr>
              <w:jc w:val="center"/>
              <w:rPr>
                <w:b w:val="0"/>
                <w:bCs/>
                <w:color w:val="auto"/>
                <w:szCs w:val="21"/>
              </w:rPr>
            </w:pPr>
            <w:r>
              <w:rPr>
                <w:rFonts w:hint="eastAsia"/>
                <w:b w:val="0"/>
                <w:bCs/>
                <w:color w:val="auto"/>
                <w:szCs w:val="21"/>
              </w:rPr>
              <w:t>预防性试验</w:t>
            </w:r>
          </w:p>
        </w:tc>
        <w:tc>
          <w:tcPr>
            <w:tcW w:w="709" w:type="dxa"/>
            <w:vAlign w:val="center"/>
          </w:tcPr>
          <w:p w14:paraId="114D1358">
            <w:pPr>
              <w:adjustRightInd w:val="0"/>
              <w:snapToGrid w:val="0"/>
              <w:jc w:val="center"/>
              <w:rPr>
                <w:b w:val="0"/>
                <w:bCs/>
                <w:color w:val="auto"/>
                <w:szCs w:val="21"/>
              </w:rPr>
            </w:pPr>
            <w:r>
              <w:rPr>
                <w:rFonts w:hint="eastAsia"/>
                <w:b w:val="0"/>
                <w:bCs/>
                <w:color w:val="auto"/>
                <w:szCs w:val="21"/>
              </w:rPr>
              <w:t>到货验收</w:t>
            </w:r>
          </w:p>
        </w:tc>
      </w:tr>
      <w:tr w14:paraId="261932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4438E9EE">
            <w:pPr>
              <w:jc w:val="center"/>
              <w:rPr>
                <w:b w:val="0"/>
                <w:bCs/>
                <w:color w:val="auto"/>
                <w:szCs w:val="21"/>
              </w:rPr>
            </w:pPr>
            <w:r>
              <w:rPr>
                <w:b w:val="0"/>
                <w:bCs/>
                <w:color w:val="auto"/>
                <w:szCs w:val="21"/>
              </w:rPr>
              <w:t>1</w:t>
            </w:r>
          </w:p>
        </w:tc>
        <w:tc>
          <w:tcPr>
            <w:tcW w:w="2820" w:type="dxa"/>
            <w:vAlign w:val="center"/>
          </w:tcPr>
          <w:p w14:paraId="49232554">
            <w:pPr>
              <w:widowControl/>
              <w:jc w:val="left"/>
              <w:rPr>
                <w:b w:val="0"/>
                <w:bCs/>
                <w:color w:val="auto"/>
                <w:szCs w:val="21"/>
              </w:rPr>
            </w:pPr>
            <w:r>
              <w:rPr>
                <w:b w:val="0"/>
                <w:bCs/>
                <w:color w:val="auto"/>
                <w:szCs w:val="21"/>
              </w:rPr>
              <w:t>结构与配置检查</w:t>
            </w:r>
          </w:p>
        </w:tc>
        <w:tc>
          <w:tcPr>
            <w:tcW w:w="1120" w:type="dxa"/>
            <w:vAlign w:val="center"/>
          </w:tcPr>
          <w:p w14:paraId="22CFB7C5">
            <w:pPr>
              <w:jc w:val="center"/>
              <w:rPr>
                <w:b w:val="0"/>
                <w:bCs/>
                <w:color w:val="auto"/>
                <w:szCs w:val="21"/>
              </w:rPr>
            </w:pPr>
            <w:r>
              <w:rPr>
                <w:b w:val="0"/>
                <w:bCs/>
                <w:color w:val="auto"/>
                <w:szCs w:val="21"/>
              </w:rPr>
              <w:t>必选</w:t>
            </w:r>
          </w:p>
        </w:tc>
        <w:tc>
          <w:tcPr>
            <w:tcW w:w="1120" w:type="dxa"/>
            <w:vAlign w:val="center"/>
          </w:tcPr>
          <w:p w14:paraId="6F98056D">
            <w:pPr>
              <w:jc w:val="center"/>
              <w:rPr>
                <w:b w:val="0"/>
                <w:bCs/>
                <w:color w:val="auto"/>
                <w:szCs w:val="21"/>
              </w:rPr>
            </w:pPr>
            <w:r>
              <w:rPr>
                <w:b w:val="0"/>
                <w:bCs/>
                <w:color w:val="auto"/>
                <w:szCs w:val="21"/>
              </w:rPr>
              <w:t>必选</w:t>
            </w:r>
          </w:p>
        </w:tc>
        <w:tc>
          <w:tcPr>
            <w:tcW w:w="932" w:type="dxa"/>
            <w:vAlign w:val="center"/>
          </w:tcPr>
          <w:p w14:paraId="79018C5C">
            <w:pPr>
              <w:adjustRightInd w:val="0"/>
              <w:snapToGrid w:val="0"/>
              <w:jc w:val="center"/>
              <w:rPr>
                <w:rFonts w:ascii="黑体" w:hAnsi="黑体" w:eastAsia="黑体" w:cs="黑体"/>
                <w:b w:val="0"/>
                <w:bCs/>
                <w:color w:val="auto"/>
                <w:szCs w:val="21"/>
              </w:rPr>
            </w:pPr>
            <w:r>
              <w:rPr>
                <w:b w:val="0"/>
                <w:bCs/>
                <w:color w:val="auto"/>
                <w:szCs w:val="21"/>
              </w:rPr>
              <w:t>必选</w:t>
            </w:r>
          </w:p>
        </w:tc>
        <w:tc>
          <w:tcPr>
            <w:tcW w:w="992" w:type="dxa"/>
            <w:vAlign w:val="center"/>
          </w:tcPr>
          <w:p w14:paraId="4E5BCBC6">
            <w:pPr>
              <w:adjustRightInd w:val="0"/>
              <w:snapToGrid w:val="0"/>
              <w:jc w:val="center"/>
              <w:rPr>
                <w:rFonts w:ascii="黑体" w:hAnsi="黑体" w:eastAsia="黑体" w:cs="黑体"/>
                <w:b w:val="0"/>
                <w:bCs/>
                <w:color w:val="auto"/>
                <w:szCs w:val="21"/>
              </w:rPr>
            </w:pPr>
            <w:r>
              <w:rPr>
                <w:b w:val="0"/>
                <w:bCs/>
                <w:color w:val="auto"/>
                <w:szCs w:val="21"/>
              </w:rPr>
              <w:t>必选</w:t>
            </w:r>
          </w:p>
        </w:tc>
        <w:tc>
          <w:tcPr>
            <w:tcW w:w="709" w:type="dxa"/>
            <w:vAlign w:val="center"/>
          </w:tcPr>
          <w:p w14:paraId="41ADA8C1">
            <w:pPr>
              <w:adjustRightInd w:val="0"/>
              <w:snapToGrid w:val="0"/>
              <w:jc w:val="center"/>
              <w:rPr>
                <w:b w:val="0"/>
                <w:bCs/>
                <w:color w:val="auto"/>
                <w:szCs w:val="21"/>
              </w:rPr>
            </w:pPr>
            <w:r>
              <w:rPr>
                <w:b w:val="0"/>
                <w:bCs/>
                <w:color w:val="auto"/>
                <w:szCs w:val="21"/>
              </w:rPr>
              <w:t>必选</w:t>
            </w:r>
          </w:p>
        </w:tc>
      </w:tr>
      <w:tr w14:paraId="40192B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16A56A60">
            <w:pPr>
              <w:jc w:val="center"/>
              <w:rPr>
                <w:b w:val="0"/>
                <w:bCs/>
                <w:color w:val="auto"/>
                <w:szCs w:val="21"/>
              </w:rPr>
            </w:pPr>
            <w:r>
              <w:rPr>
                <w:b w:val="0"/>
                <w:bCs/>
                <w:color w:val="auto"/>
                <w:szCs w:val="21"/>
              </w:rPr>
              <w:t>2</w:t>
            </w:r>
          </w:p>
        </w:tc>
        <w:tc>
          <w:tcPr>
            <w:tcW w:w="2820" w:type="dxa"/>
            <w:vAlign w:val="center"/>
          </w:tcPr>
          <w:p w14:paraId="0109EFC3">
            <w:pPr>
              <w:widowControl/>
              <w:jc w:val="left"/>
              <w:rPr>
                <w:b w:val="0"/>
                <w:bCs/>
                <w:color w:val="auto"/>
                <w:szCs w:val="21"/>
              </w:rPr>
            </w:pPr>
            <w:r>
              <w:rPr>
                <w:b w:val="0"/>
                <w:bCs/>
                <w:color w:val="auto"/>
                <w:szCs w:val="21"/>
              </w:rPr>
              <w:t>外观检查</w:t>
            </w:r>
          </w:p>
        </w:tc>
        <w:tc>
          <w:tcPr>
            <w:tcW w:w="1120" w:type="dxa"/>
            <w:vAlign w:val="center"/>
          </w:tcPr>
          <w:p w14:paraId="440BEA75">
            <w:pPr>
              <w:jc w:val="center"/>
              <w:rPr>
                <w:b w:val="0"/>
                <w:bCs/>
                <w:color w:val="auto"/>
                <w:szCs w:val="21"/>
              </w:rPr>
            </w:pPr>
            <w:r>
              <w:rPr>
                <w:b w:val="0"/>
                <w:bCs/>
                <w:color w:val="auto"/>
                <w:szCs w:val="21"/>
              </w:rPr>
              <w:t>必选</w:t>
            </w:r>
          </w:p>
        </w:tc>
        <w:tc>
          <w:tcPr>
            <w:tcW w:w="1120" w:type="dxa"/>
            <w:vAlign w:val="center"/>
          </w:tcPr>
          <w:p w14:paraId="791BD102">
            <w:pPr>
              <w:jc w:val="center"/>
              <w:rPr>
                <w:b w:val="0"/>
                <w:bCs/>
                <w:color w:val="auto"/>
                <w:szCs w:val="21"/>
              </w:rPr>
            </w:pPr>
            <w:r>
              <w:rPr>
                <w:b w:val="0"/>
                <w:bCs/>
                <w:color w:val="auto"/>
                <w:szCs w:val="21"/>
              </w:rPr>
              <w:t>必选</w:t>
            </w:r>
          </w:p>
        </w:tc>
        <w:tc>
          <w:tcPr>
            <w:tcW w:w="932" w:type="dxa"/>
            <w:vAlign w:val="center"/>
          </w:tcPr>
          <w:p w14:paraId="44EA7590">
            <w:pPr>
              <w:adjustRightInd w:val="0"/>
              <w:snapToGrid w:val="0"/>
              <w:jc w:val="center"/>
              <w:rPr>
                <w:rFonts w:ascii="黑体" w:hAnsi="黑体" w:eastAsia="黑体" w:cs="黑体"/>
                <w:b w:val="0"/>
                <w:bCs/>
                <w:color w:val="auto"/>
                <w:szCs w:val="21"/>
              </w:rPr>
            </w:pPr>
            <w:r>
              <w:rPr>
                <w:b w:val="0"/>
                <w:bCs/>
                <w:color w:val="auto"/>
                <w:szCs w:val="21"/>
              </w:rPr>
              <w:t>必选</w:t>
            </w:r>
          </w:p>
        </w:tc>
        <w:tc>
          <w:tcPr>
            <w:tcW w:w="992" w:type="dxa"/>
            <w:vAlign w:val="center"/>
          </w:tcPr>
          <w:p w14:paraId="5F4CCF50">
            <w:pPr>
              <w:adjustRightInd w:val="0"/>
              <w:snapToGrid w:val="0"/>
              <w:jc w:val="center"/>
              <w:rPr>
                <w:rFonts w:ascii="黑体" w:hAnsi="黑体" w:eastAsia="黑体" w:cs="黑体"/>
                <w:b w:val="0"/>
                <w:bCs/>
                <w:color w:val="auto"/>
                <w:szCs w:val="21"/>
              </w:rPr>
            </w:pPr>
            <w:r>
              <w:rPr>
                <w:b w:val="0"/>
                <w:bCs/>
                <w:color w:val="auto"/>
                <w:szCs w:val="21"/>
              </w:rPr>
              <w:t>必选</w:t>
            </w:r>
          </w:p>
        </w:tc>
        <w:tc>
          <w:tcPr>
            <w:tcW w:w="709" w:type="dxa"/>
            <w:vAlign w:val="center"/>
          </w:tcPr>
          <w:p w14:paraId="57D61F27">
            <w:pPr>
              <w:adjustRightInd w:val="0"/>
              <w:snapToGrid w:val="0"/>
              <w:jc w:val="center"/>
              <w:rPr>
                <w:b w:val="0"/>
                <w:bCs/>
                <w:color w:val="auto"/>
                <w:szCs w:val="21"/>
              </w:rPr>
            </w:pPr>
            <w:r>
              <w:rPr>
                <w:b w:val="0"/>
                <w:bCs/>
                <w:color w:val="auto"/>
                <w:szCs w:val="21"/>
              </w:rPr>
              <w:t>必选</w:t>
            </w:r>
          </w:p>
        </w:tc>
      </w:tr>
      <w:tr w14:paraId="618C3F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432F7034">
            <w:pPr>
              <w:jc w:val="center"/>
              <w:rPr>
                <w:b w:val="0"/>
                <w:bCs/>
                <w:color w:val="auto"/>
                <w:szCs w:val="21"/>
              </w:rPr>
            </w:pPr>
            <w:r>
              <w:rPr>
                <w:b w:val="0"/>
                <w:bCs/>
                <w:color w:val="auto"/>
                <w:szCs w:val="21"/>
              </w:rPr>
              <w:t>3</w:t>
            </w:r>
          </w:p>
        </w:tc>
        <w:tc>
          <w:tcPr>
            <w:tcW w:w="2820" w:type="dxa"/>
            <w:vAlign w:val="center"/>
          </w:tcPr>
          <w:p w14:paraId="3FB91117">
            <w:pPr>
              <w:widowControl/>
              <w:jc w:val="left"/>
              <w:rPr>
                <w:b w:val="0"/>
                <w:bCs/>
                <w:color w:val="auto"/>
                <w:szCs w:val="21"/>
              </w:rPr>
            </w:pPr>
            <w:r>
              <w:rPr>
                <w:b w:val="0"/>
                <w:bCs/>
                <w:color w:val="auto"/>
                <w:szCs w:val="21"/>
              </w:rPr>
              <w:t>绝缘电阻试验</w:t>
            </w:r>
          </w:p>
        </w:tc>
        <w:tc>
          <w:tcPr>
            <w:tcW w:w="1120" w:type="dxa"/>
            <w:vAlign w:val="center"/>
          </w:tcPr>
          <w:p w14:paraId="555F5804">
            <w:pPr>
              <w:jc w:val="center"/>
              <w:rPr>
                <w:b w:val="0"/>
                <w:bCs/>
                <w:color w:val="auto"/>
                <w:szCs w:val="21"/>
              </w:rPr>
            </w:pPr>
            <w:r>
              <w:rPr>
                <w:b w:val="0"/>
                <w:bCs/>
                <w:color w:val="auto"/>
                <w:szCs w:val="21"/>
              </w:rPr>
              <w:t>必选</w:t>
            </w:r>
          </w:p>
        </w:tc>
        <w:tc>
          <w:tcPr>
            <w:tcW w:w="1120" w:type="dxa"/>
            <w:vAlign w:val="center"/>
          </w:tcPr>
          <w:p w14:paraId="5A8DE830">
            <w:pPr>
              <w:jc w:val="center"/>
              <w:rPr>
                <w:b w:val="0"/>
                <w:bCs/>
                <w:color w:val="auto"/>
                <w:szCs w:val="21"/>
              </w:rPr>
            </w:pPr>
            <w:r>
              <w:rPr>
                <w:b w:val="0"/>
                <w:bCs/>
                <w:color w:val="auto"/>
                <w:szCs w:val="21"/>
              </w:rPr>
              <w:t>必选</w:t>
            </w:r>
          </w:p>
        </w:tc>
        <w:tc>
          <w:tcPr>
            <w:tcW w:w="932" w:type="dxa"/>
            <w:vAlign w:val="center"/>
          </w:tcPr>
          <w:p w14:paraId="332F5BE6">
            <w:pPr>
              <w:adjustRightInd w:val="0"/>
              <w:snapToGrid w:val="0"/>
              <w:jc w:val="center"/>
              <w:rPr>
                <w:rFonts w:ascii="黑体" w:hAnsi="黑体" w:eastAsia="黑体" w:cs="黑体"/>
                <w:b w:val="0"/>
                <w:bCs/>
                <w:color w:val="auto"/>
                <w:szCs w:val="21"/>
              </w:rPr>
            </w:pPr>
            <w:r>
              <w:rPr>
                <w:b w:val="0"/>
                <w:bCs/>
                <w:color w:val="auto"/>
                <w:szCs w:val="21"/>
              </w:rPr>
              <w:t>必选</w:t>
            </w:r>
          </w:p>
        </w:tc>
        <w:tc>
          <w:tcPr>
            <w:tcW w:w="992" w:type="dxa"/>
            <w:vAlign w:val="center"/>
          </w:tcPr>
          <w:p w14:paraId="7583D223">
            <w:pPr>
              <w:adjustRightInd w:val="0"/>
              <w:snapToGrid w:val="0"/>
              <w:jc w:val="center"/>
              <w:rPr>
                <w:rFonts w:ascii="黑体" w:hAnsi="黑体" w:eastAsia="黑体" w:cs="黑体"/>
                <w:b w:val="0"/>
                <w:bCs/>
                <w:color w:val="auto"/>
                <w:szCs w:val="21"/>
              </w:rPr>
            </w:pPr>
            <w:r>
              <w:rPr>
                <w:b w:val="0"/>
                <w:bCs/>
                <w:color w:val="auto"/>
                <w:szCs w:val="21"/>
              </w:rPr>
              <w:t>可选</w:t>
            </w:r>
          </w:p>
        </w:tc>
        <w:tc>
          <w:tcPr>
            <w:tcW w:w="709" w:type="dxa"/>
            <w:vAlign w:val="center"/>
          </w:tcPr>
          <w:p w14:paraId="0D9C8D1C">
            <w:pPr>
              <w:adjustRightInd w:val="0"/>
              <w:snapToGrid w:val="0"/>
              <w:jc w:val="center"/>
              <w:rPr>
                <w:b w:val="0"/>
                <w:bCs/>
                <w:color w:val="auto"/>
                <w:szCs w:val="21"/>
              </w:rPr>
            </w:pPr>
            <w:r>
              <w:rPr>
                <w:b w:val="0"/>
                <w:bCs/>
                <w:color w:val="auto"/>
                <w:szCs w:val="21"/>
              </w:rPr>
              <w:t>必选</w:t>
            </w:r>
          </w:p>
        </w:tc>
      </w:tr>
      <w:tr w14:paraId="7D54FF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3BE52618">
            <w:pPr>
              <w:jc w:val="center"/>
              <w:rPr>
                <w:b w:val="0"/>
                <w:bCs/>
                <w:color w:val="auto"/>
                <w:szCs w:val="21"/>
              </w:rPr>
            </w:pPr>
            <w:r>
              <w:rPr>
                <w:b w:val="0"/>
                <w:bCs/>
                <w:color w:val="auto"/>
                <w:szCs w:val="21"/>
              </w:rPr>
              <w:t>4</w:t>
            </w:r>
          </w:p>
        </w:tc>
        <w:tc>
          <w:tcPr>
            <w:tcW w:w="2820" w:type="dxa"/>
          </w:tcPr>
          <w:p w14:paraId="75C916C5">
            <w:pPr>
              <w:rPr>
                <w:b w:val="0"/>
                <w:bCs/>
                <w:color w:val="auto"/>
                <w:szCs w:val="21"/>
              </w:rPr>
            </w:pPr>
            <w:r>
              <w:rPr>
                <w:rFonts w:hint="eastAsia"/>
                <w:b w:val="0"/>
                <w:bCs/>
                <w:color w:val="auto"/>
                <w:szCs w:val="21"/>
              </w:rPr>
              <w:t>工频电压试验</w:t>
            </w:r>
          </w:p>
        </w:tc>
        <w:tc>
          <w:tcPr>
            <w:tcW w:w="1120" w:type="dxa"/>
            <w:vAlign w:val="center"/>
          </w:tcPr>
          <w:p w14:paraId="33D8CE7F">
            <w:pPr>
              <w:jc w:val="center"/>
              <w:rPr>
                <w:b w:val="0"/>
                <w:bCs/>
                <w:color w:val="auto"/>
                <w:szCs w:val="21"/>
              </w:rPr>
            </w:pPr>
            <w:r>
              <w:rPr>
                <w:b w:val="0"/>
                <w:bCs/>
                <w:color w:val="auto"/>
                <w:szCs w:val="21"/>
              </w:rPr>
              <w:t>必选</w:t>
            </w:r>
          </w:p>
        </w:tc>
        <w:tc>
          <w:tcPr>
            <w:tcW w:w="1120" w:type="dxa"/>
            <w:vAlign w:val="center"/>
          </w:tcPr>
          <w:p w14:paraId="6918F070">
            <w:pPr>
              <w:jc w:val="center"/>
              <w:rPr>
                <w:b w:val="0"/>
                <w:bCs/>
                <w:color w:val="auto"/>
                <w:szCs w:val="21"/>
              </w:rPr>
            </w:pPr>
            <w:r>
              <w:rPr>
                <w:b w:val="0"/>
                <w:bCs/>
                <w:color w:val="auto"/>
                <w:szCs w:val="21"/>
              </w:rPr>
              <w:t>必选</w:t>
            </w:r>
          </w:p>
        </w:tc>
        <w:tc>
          <w:tcPr>
            <w:tcW w:w="932" w:type="dxa"/>
            <w:vAlign w:val="center"/>
          </w:tcPr>
          <w:p w14:paraId="6934C0A1">
            <w:pPr>
              <w:jc w:val="center"/>
              <w:rPr>
                <w:b w:val="0"/>
                <w:bCs/>
                <w:color w:val="auto"/>
                <w:szCs w:val="21"/>
              </w:rPr>
            </w:pPr>
            <w:r>
              <w:rPr>
                <w:b w:val="0"/>
                <w:bCs/>
                <w:color w:val="auto"/>
                <w:szCs w:val="21"/>
              </w:rPr>
              <w:t>必选</w:t>
            </w:r>
          </w:p>
        </w:tc>
        <w:tc>
          <w:tcPr>
            <w:tcW w:w="992" w:type="dxa"/>
            <w:vAlign w:val="center"/>
          </w:tcPr>
          <w:p w14:paraId="61E565EB">
            <w:pPr>
              <w:jc w:val="center"/>
              <w:rPr>
                <w:b w:val="0"/>
                <w:bCs/>
                <w:color w:val="auto"/>
                <w:szCs w:val="21"/>
              </w:rPr>
            </w:pPr>
            <w:r>
              <w:rPr>
                <w:b w:val="0"/>
                <w:bCs/>
                <w:color w:val="auto"/>
                <w:szCs w:val="21"/>
              </w:rPr>
              <w:t>可选</w:t>
            </w:r>
          </w:p>
        </w:tc>
        <w:tc>
          <w:tcPr>
            <w:tcW w:w="709" w:type="dxa"/>
            <w:vAlign w:val="center"/>
          </w:tcPr>
          <w:p w14:paraId="48F9E981">
            <w:pPr>
              <w:jc w:val="center"/>
              <w:rPr>
                <w:b w:val="0"/>
                <w:bCs/>
                <w:color w:val="auto"/>
                <w:szCs w:val="21"/>
              </w:rPr>
            </w:pPr>
            <w:r>
              <w:rPr>
                <w:b w:val="0"/>
                <w:bCs/>
                <w:color w:val="auto"/>
                <w:szCs w:val="21"/>
              </w:rPr>
              <w:t>必选</w:t>
            </w:r>
          </w:p>
        </w:tc>
      </w:tr>
      <w:tr w14:paraId="5F0F62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4" w:hRule="atLeast"/>
          <w:jc w:val="center"/>
        </w:trPr>
        <w:tc>
          <w:tcPr>
            <w:tcW w:w="666" w:type="dxa"/>
            <w:vAlign w:val="center"/>
          </w:tcPr>
          <w:p w14:paraId="5C179B58">
            <w:pPr>
              <w:jc w:val="center"/>
              <w:rPr>
                <w:b w:val="0"/>
                <w:bCs/>
                <w:color w:val="auto"/>
                <w:szCs w:val="21"/>
              </w:rPr>
            </w:pPr>
            <w:r>
              <w:rPr>
                <w:b w:val="0"/>
                <w:bCs/>
                <w:color w:val="auto"/>
                <w:szCs w:val="21"/>
              </w:rPr>
              <w:t>5</w:t>
            </w:r>
          </w:p>
        </w:tc>
        <w:tc>
          <w:tcPr>
            <w:tcW w:w="2820" w:type="dxa"/>
          </w:tcPr>
          <w:p w14:paraId="2D52DD76">
            <w:pPr>
              <w:rPr>
                <w:rStyle w:val="32"/>
                <w:b w:val="0"/>
                <w:bCs/>
                <w:color w:val="auto"/>
              </w:rPr>
            </w:pPr>
            <w:r>
              <w:rPr>
                <w:rStyle w:val="32"/>
                <w:b w:val="0"/>
                <w:bCs/>
                <w:color w:val="auto"/>
              </w:rPr>
              <w:t>局部放电试验</w:t>
            </w:r>
          </w:p>
        </w:tc>
        <w:tc>
          <w:tcPr>
            <w:tcW w:w="1120" w:type="dxa"/>
            <w:vAlign w:val="center"/>
          </w:tcPr>
          <w:p w14:paraId="0B282EF5">
            <w:pPr>
              <w:jc w:val="center"/>
              <w:rPr>
                <w:b w:val="0"/>
                <w:bCs/>
                <w:color w:val="auto"/>
                <w:szCs w:val="21"/>
              </w:rPr>
            </w:pPr>
            <w:r>
              <w:rPr>
                <w:rFonts w:hint="eastAsia"/>
                <w:b w:val="0"/>
                <w:bCs/>
                <w:color w:val="auto"/>
                <w:szCs w:val="21"/>
              </w:rPr>
              <w:t>可选</w:t>
            </w:r>
          </w:p>
        </w:tc>
        <w:tc>
          <w:tcPr>
            <w:tcW w:w="1120" w:type="dxa"/>
            <w:vAlign w:val="center"/>
          </w:tcPr>
          <w:p w14:paraId="35613C6A">
            <w:pPr>
              <w:jc w:val="center"/>
              <w:rPr>
                <w:b w:val="0"/>
                <w:bCs/>
                <w:color w:val="auto"/>
                <w:szCs w:val="21"/>
              </w:rPr>
            </w:pPr>
            <w:r>
              <w:rPr>
                <w:b w:val="0"/>
                <w:bCs/>
                <w:color w:val="auto"/>
                <w:szCs w:val="21"/>
              </w:rPr>
              <w:t>--</w:t>
            </w:r>
          </w:p>
        </w:tc>
        <w:tc>
          <w:tcPr>
            <w:tcW w:w="932" w:type="dxa"/>
            <w:vAlign w:val="center"/>
          </w:tcPr>
          <w:p w14:paraId="3E159329">
            <w:pPr>
              <w:jc w:val="center"/>
              <w:rPr>
                <w:b w:val="0"/>
                <w:bCs/>
                <w:color w:val="auto"/>
                <w:szCs w:val="21"/>
              </w:rPr>
            </w:pPr>
            <w:r>
              <w:rPr>
                <w:b w:val="0"/>
                <w:bCs/>
                <w:color w:val="auto"/>
                <w:szCs w:val="21"/>
              </w:rPr>
              <w:t>必选</w:t>
            </w:r>
          </w:p>
        </w:tc>
        <w:tc>
          <w:tcPr>
            <w:tcW w:w="992" w:type="dxa"/>
            <w:vAlign w:val="center"/>
          </w:tcPr>
          <w:p w14:paraId="4293B801">
            <w:pPr>
              <w:jc w:val="center"/>
              <w:rPr>
                <w:b w:val="0"/>
                <w:bCs/>
                <w:color w:val="auto"/>
                <w:szCs w:val="21"/>
              </w:rPr>
            </w:pPr>
            <w:r>
              <w:rPr>
                <w:b w:val="0"/>
                <w:bCs/>
                <w:color w:val="auto"/>
                <w:szCs w:val="21"/>
              </w:rPr>
              <w:t>--</w:t>
            </w:r>
          </w:p>
        </w:tc>
        <w:tc>
          <w:tcPr>
            <w:tcW w:w="709" w:type="dxa"/>
            <w:vAlign w:val="center"/>
          </w:tcPr>
          <w:p w14:paraId="643B88AF">
            <w:pPr>
              <w:jc w:val="center"/>
              <w:rPr>
                <w:b w:val="0"/>
                <w:bCs/>
                <w:color w:val="auto"/>
                <w:szCs w:val="21"/>
              </w:rPr>
            </w:pPr>
            <w:r>
              <w:rPr>
                <w:rFonts w:hint="eastAsia"/>
                <w:b w:val="0"/>
                <w:bCs/>
                <w:color w:val="auto"/>
                <w:szCs w:val="21"/>
              </w:rPr>
              <w:t>可选</w:t>
            </w:r>
          </w:p>
        </w:tc>
      </w:tr>
      <w:tr w14:paraId="2A0D76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52A466BF">
            <w:pPr>
              <w:jc w:val="center"/>
              <w:rPr>
                <w:b w:val="0"/>
                <w:bCs/>
                <w:color w:val="auto"/>
                <w:szCs w:val="21"/>
              </w:rPr>
            </w:pPr>
            <w:r>
              <w:rPr>
                <w:b w:val="0"/>
                <w:bCs/>
                <w:color w:val="auto"/>
                <w:szCs w:val="21"/>
              </w:rPr>
              <w:t>6</w:t>
            </w:r>
          </w:p>
        </w:tc>
        <w:tc>
          <w:tcPr>
            <w:tcW w:w="2820" w:type="dxa"/>
          </w:tcPr>
          <w:p w14:paraId="49F039F9">
            <w:pPr>
              <w:rPr>
                <w:b w:val="0"/>
                <w:bCs/>
                <w:color w:val="auto"/>
                <w:szCs w:val="21"/>
              </w:rPr>
            </w:pPr>
            <w:r>
              <w:rPr>
                <w:rFonts w:hint="eastAsia"/>
                <w:b w:val="0"/>
                <w:bCs/>
                <w:color w:val="auto"/>
                <w:szCs w:val="21"/>
              </w:rPr>
              <w:t>雷电冲击试验</w:t>
            </w:r>
          </w:p>
        </w:tc>
        <w:tc>
          <w:tcPr>
            <w:tcW w:w="1120" w:type="dxa"/>
            <w:vAlign w:val="center"/>
          </w:tcPr>
          <w:p w14:paraId="51648686">
            <w:pPr>
              <w:jc w:val="center"/>
              <w:rPr>
                <w:b w:val="0"/>
                <w:bCs/>
                <w:color w:val="auto"/>
                <w:szCs w:val="21"/>
              </w:rPr>
            </w:pPr>
            <w:r>
              <w:rPr>
                <w:rFonts w:hint="eastAsia"/>
                <w:b w:val="0"/>
                <w:bCs/>
                <w:color w:val="auto"/>
                <w:szCs w:val="21"/>
              </w:rPr>
              <w:t>可选</w:t>
            </w:r>
          </w:p>
        </w:tc>
        <w:tc>
          <w:tcPr>
            <w:tcW w:w="1120" w:type="dxa"/>
            <w:vAlign w:val="center"/>
          </w:tcPr>
          <w:p w14:paraId="0AA84D17">
            <w:pPr>
              <w:jc w:val="center"/>
              <w:rPr>
                <w:b w:val="0"/>
                <w:bCs/>
                <w:color w:val="auto"/>
                <w:szCs w:val="21"/>
              </w:rPr>
            </w:pPr>
            <w:r>
              <w:rPr>
                <w:b w:val="0"/>
                <w:bCs/>
                <w:color w:val="auto"/>
                <w:szCs w:val="21"/>
              </w:rPr>
              <w:t>--</w:t>
            </w:r>
          </w:p>
        </w:tc>
        <w:tc>
          <w:tcPr>
            <w:tcW w:w="932" w:type="dxa"/>
            <w:vAlign w:val="center"/>
          </w:tcPr>
          <w:p w14:paraId="6002BA90">
            <w:pPr>
              <w:jc w:val="center"/>
              <w:rPr>
                <w:b w:val="0"/>
                <w:bCs/>
                <w:color w:val="auto"/>
                <w:szCs w:val="21"/>
              </w:rPr>
            </w:pPr>
            <w:r>
              <w:rPr>
                <w:rFonts w:hint="eastAsia"/>
                <w:b w:val="0"/>
                <w:bCs/>
                <w:color w:val="auto"/>
                <w:szCs w:val="21"/>
              </w:rPr>
              <w:t>必选</w:t>
            </w:r>
          </w:p>
        </w:tc>
        <w:tc>
          <w:tcPr>
            <w:tcW w:w="992" w:type="dxa"/>
            <w:vAlign w:val="center"/>
          </w:tcPr>
          <w:p w14:paraId="429B0392">
            <w:pPr>
              <w:jc w:val="center"/>
              <w:rPr>
                <w:b w:val="0"/>
                <w:bCs/>
                <w:color w:val="auto"/>
                <w:szCs w:val="21"/>
              </w:rPr>
            </w:pPr>
            <w:r>
              <w:rPr>
                <w:b w:val="0"/>
                <w:bCs/>
                <w:color w:val="auto"/>
                <w:szCs w:val="21"/>
              </w:rPr>
              <w:t>--</w:t>
            </w:r>
          </w:p>
        </w:tc>
        <w:tc>
          <w:tcPr>
            <w:tcW w:w="709" w:type="dxa"/>
            <w:vAlign w:val="center"/>
          </w:tcPr>
          <w:p w14:paraId="48BE3CD1">
            <w:pPr>
              <w:jc w:val="center"/>
              <w:rPr>
                <w:b w:val="0"/>
                <w:bCs/>
                <w:color w:val="auto"/>
                <w:szCs w:val="21"/>
              </w:rPr>
            </w:pPr>
            <w:r>
              <w:rPr>
                <w:rFonts w:hint="eastAsia"/>
                <w:b w:val="0"/>
                <w:bCs/>
                <w:color w:val="auto"/>
                <w:szCs w:val="21"/>
              </w:rPr>
              <w:t>可选</w:t>
            </w:r>
          </w:p>
        </w:tc>
      </w:tr>
      <w:tr w14:paraId="150077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79F84AB6">
            <w:pPr>
              <w:jc w:val="center"/>
              <w:rPr>
                <w:b w:val="0"/>
                <w:bCs/>
                <w:color w:val="auto"/>
                <w:szCs w:val="21"/>
              </w:rPr>
            </w:pPr>
            <w:r>
              <w:rPr>
                <w:b w:val="0"/>
                <w:bCs/>
                <w:color w:val="auto"/>
                <w:szCs w:val="21"/>
              </w:rPr>
              <w:t>7</w:t>
            </w:r>
          </w:p>
        </w:tc>
        <w:tc>
          <w:tcPr>
            <w:tcW w:w="2820" w:type="dxa"/>
          </w:tcPr>
          <w:p w14:paraId="1E236B23">
            <w:pPr>
              <w:rPr>
                <w:b w:val="0"/>
                <w:bCs/>
                <w:color w:val="auto"/>
                <w:szCs w:val="21"/>
              </w:rPr>
            </w:pPr>
            <w:r>
              <w:rPr>
                <w:rFonts w:hint="eastAsia"/>
                <w:b w:val="0"/>
                <w:bCs/>
                <w:color w:val="auto"/>
                <w:szCs w:val="21"/>
              </w:rPr>
              <w:t>雷电冲击抗干扰试验</w:t>
            </w:r>
          </w:p>
        </w:tc>
        <w:tc>
          <w:tcPr>
            <w:tcW w:w="1120" w:type="dxa"/>
            <w:vAlign w:val="center"/>
          </w:tcPr>
          <w:p w14:paraId="258F9519">
            <w:pPr>
              <w:jc w:val="center"/>
              <w:rPr>
                <w:b w:val="0"/>
                <w:bCs/>
                <w:color w:val="auto"/>
                <w:szCs w:val="21"/>
              </w:rPr>
            </w:pPr>
            <w:r>
              <w:rPr>
                <w:b w:val="0"/>
                <w:bCs/>
                <w:color w:val="auto"/>
                <w:szCs w:val="21"/>
              </w:rPr>
              <w:t>--</w:t>
            </w:r>
          </w:p>
        </w:tc>
        <w:tc>
          <w:tcPr>
            <w:tcW w:w="1120" w:type="dxa"/>
            <w:vAlign w:val="center"/>
          </w:tcPr>
          <w:p w14:paraId="5B1835B1">
            <w:pPr>
              <w:jc w:val="center"/>
              <w:rPr>
                <w:b w:val="0"/>
                <w:bCs/>
                <w:color w:val="auto"/>
                <w:szCs w:val="21"/>
              </w:rPr>
            </w:pPr>
            <w:r>
              <w:rPr>
                <w:b w:val="0"/>
                <w:bCs/>
                <w:color w:val="auto"/>
                <w:szCs w:val="21"/>
              </w:rPr>
              <w:t>--</w:t>
            </w:r>
          </w:p>
        </w:tc>
        <w:tc>
          <w:tcPr>
            <w:tcW w:w="932" w:type="dxa"/>
            <w:vAlign w:val="center"/>
          </w:tcPr>
          <w:p w14:paraId="3C6991F8">
            <w:pPr>
              <w:jc w:val="center"/>
              <w:rPr>
                <w:b w:val="0"/>
                <w:bCs/>
                <w:color w:val="auto"/>
                <w:szCs w:val="21"/>
              </w:rPr>
            </w:pPr>
            <w:r>
              <w:rPr>
                <w:b w:val="0"/>
                <w:bCs/>
                <w:color w:val="auto"/>
                <w:szCs w:val="21"/>
              </w:rPr>
              <w:t>必选</w:t>
            </w:r>
          </w:p>
        </w:tc>
        <w:tc>
          <w:tcPr>
            <w:tcW w:w="992" w:type="dxa"/>
            <w:vAlign w:val="center"/>
          </w:tcPr>
          <w:p w14:paraId="4870D4DB">
            <w:pPr>
              <w:jc w:val="center"/>
              <w:rPr>
                <w:b w:val="0"/>
                <w:bCs/>
                <w:color w:val="auto"/>
                <w:szCs w:val="21"/>
              </w:rPr>
            </w:pPr>
            <w:r>
              <w:rPr>
                <w:b w:val="0"/>
                <w:bCs/>
                <w:color w:val="auto"/>
                <w:szCs w:val="21"/>
              </w:rPr>
              <w:t>--</w:t>
            </w:r>
          </w:p>
        </w:tc>
        <w:tc>
          <w:tcPr>
            <w:tcW w:w="709" w:type="dxa"/>
            <w:vAlign w:val="center"/>
          </w:tcPr>
          <w:p w14:paraId="0937879A">
            <w:pPr>
              <w:jc w:val="center"/>
              <w:rPr>
                <w:b w:val="0"/>
                <w:bCs/>
                <w:color w:val="auto"/>
                <w:szCs w:val="21"/>
              </w:rPr>
            </w:pPr>
            <w:r>
              <w:rPr>
                <w:rFonts w:hint="eastAsia"/>
                <w:b w:val="0"/>
                <w:bCs/>
                <w:color w:val="auto"/>
                <w:szCs w:val="21"/>
              </w:rPr>
              <w:t>可选</w:t>
            </w:r>
          </w:p>
        </w:tc>
      </w:tr>
      <w:tr w14:paraId="0B87B2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0AB9D951">
            <w:pPr>
              <w:jc w:val="center"/>
              <w:rPr>
                <w:b w:val="0"/>
                <w:bCs/>
                <w:color w:val="auto"/>
                <w:szCs w:val="21"/>
              </w:rPr>
            </w:pPr>
            <w:r>
              <w:rPr>
                <w:b w:val="0"/>
                <w:bCs/>
                <w:color w:val="auto"/>
                <w:szCs w:val="21"/>
              </w:rPr>
              <w:t>8</w:t>
            </w:r>
          </w:p>
        </w:tc>
        <w:tc>
          <w:tcPr>
            <w:tcW w:w="2820" w:type="dxa"/>
          </w:tcPr>
          <w:p w14:paraId="055A441E">
            <w:pPr>
              <w:rPr>
                <w:b w:val="0"/>
                <w:bCs/>
                <w:color w:val="auto"/>
                <w:szCs w:val="21"/>
              </w:rPr>
            </w:pPr>
            <w:r>
              <w:rPr>
                <w:rFonts w:hint="eastAsia"/>
                <w:b w:val="0"/>
                <w:bCs/>
                <w:color w:val="auto"/>
                <w:szCs w:val="21"/>
              </w:rPr>
              <w:t>互感器准确度试验</w:t>
            </w:r>
          </w:p>
        </w:tc>
        <w:tc>
          <w:tcPr>
            <w:tcW w:w="1120" w:type="dxa"/>
            <w:vAlign w:val="center"/>
          </w:tcPr>
          <w:p w14:paraId="06ACBD43">
            <w:pPr>
              <w:jc w:val="center"/>
              <w:rPr>
                <w:b w:val="0"/>
                <w:bCs/>
                <w:color w:val="auto"/>
                <w:szCs w:val="21"/>
              </w:rPr>
            </w:pPr>
            <w:r>
              <w:rPr>
                <w:b w:val="0"/>
                <w:bCs/>
                <w:color w:val="auto"/>
                <w:szCs w:val="21"/>
              </w:rPr>
              <w:t>必选</w:t>
            </w:r>
          </w:p>
        </w:tc>
        <w:tc>
          <w:tcPr>
            <w:tcW w:w="1120" w:type="dxa"/>
            <w:vAlign w:val="center"/>
          </w:tcPr>
          <w:p w14:paraId="6890A9F2">
            <w:pPr>
              <w:jc w:val="center"/>
              <w:rPr>
                <w:b w:val="0"/>
                <w:bCs/>
                <w:color w:val="auto"/>
                <w:szCs w:val="21"/>
              </w:rPr>
            </w:pPr>
            <w:r>
              <w:rPr>
                <w:b w:val="0"/>
                <w:bCs/>
                <w:color w:val="auto"/>
                <w:szCs w:val="21"/>
              </w:rPr>
              <w:t>必选</w:t>
            </w:r>
          </w:p>
        </w:tc>
        <w:tc>
          <w:tcPr>
            <w:tcW w:w="932" w:type="dxa"/>
            <w:vAlign w:val="center"/>
          </w:tcPr>
          <w:p w14:paraId="56EECC54">
            <w:pPr>
              <w:jc w:val="center"/>
              <w:rPr>
                <w:b w:val="0"/>
                <w:bCs/>
                <w:color w:val="auto"/>
                <w:szCs w:val="21"/>
              </w:rPr>
            </w:pPr>
            <w:r>
              <w:rPr>
                <w:b w:val="0"/>
                <w:bCs/>
                <w:color w:val="auto"/>
                <w:szCs w:val="21"/>
              </w:rPr>
              <w:t>必选</w:t>
            </w:r>
          </w:p>
        </w:tc>
        <w:tc>
          <w:tcPr>
            <w:tcW w:w="992" w:type="dxa"/>
            <w:vAlign w:val="center"/>
          </w:tcPr>
          <w:p w14:paraId="2A306E4F">
            <w:pPr>
              <w:jc w:val="center"/>
              <w:rPr>
                <w:b w:val="0"/>
                <w:bCs/>
                <w:color w:val="auto"/>
                <w:szCs w:val="21"/>
              </w:rPr>
            </w:pPr>
            <w:r>
              <w:rPr>
                <w:b w:val="0"/>
                <w:bCs/>
                <w:color w:val="auto"/>
                <w:szCs w:val="21"/>
              </w:rPr>
              <w:t>可选</w:t>
            </w:r>
          </w:p>
        </w:tc>
        <w:tc>
          <w:tcPr>
            <w:tcW w:w="709" w:type="dxa"/>
            <w:vAlign w:val="center"/>
          </w:tcPr>
          <w:p w14:paraId="376A9DDF">
            <w:pPr>
              <w:jc w:val="center"/>
              <w:rPr>
                <w:b w:val="0"/>
                <w:bCs/>
                <w:color w:val="auto"/>
                <w:szCs w:val="21"/>
              </w:rPr>
            </w:pPr>
            <w:r>
              <w:rPr>
                <w:rFonts w:hint="eastAsia"/>
                <w:b w:val="0"/>
                <w:bCs/>
                <w:color w:val="auto"/>
                <w:szCs w:val="21"/>
              </w:rPr>
              <w:t>可选</w:t>
            </w:r>
          </w:p>
        </w:tc>
      </w:tr>
      <w:tr w14:paraId="4E179A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15F189CE">
            <w:pPr>
              <w:jc w:val="center"/>
              <w:rPr>
                <w:b w:val="0"/>
                <w:bCs/>
                <w:color w:val="auto"/>
                <w:szCs w:val="21"/>
              </w:rPr>
            </w:pPr>
            <w:r>
              <w:rPr>
                <w:b w:val="0"/>
                <w:bCs/>
                <w:color w:val="auto"/>
                <w:szCs w:val="21"/>
              </w:rPr>
              <w:t>9</w:t>
            </w:r>
          </w:p>
        </w:tc>
        <w:tc>
          <w:tcPr>
            <w:tcW w:w="2820" w:type="dxa"/>
          </w:tcPr>
          <w:p w14:paraId="6535BC18">
            <w:pPr>
              <w:rPr>
                <w:b w:val="0"/>
                <w:bCs/>
                <w:color w:val="auto"/>
                <w:szCs w:val="21"/>
              </w:rPr>
            </w:pPr>
            <w:r>
              <w:rPr>
                <w:rFonts w:hint="eastAsia"/>
                <w:b w:val="0"/>
                <w:bCs/>
                <w:color w:val="auto"/>
                <w:szCs w:val="21"/>
              </w:rPr>
              <w:t>成套设备动作性能试验</w:t>
            </w:r>
          </w:p>
        </w:tc>
        <w:tc>
          <w:tcPr>
            <w:tcW w:w="1120" w:type="dxa"/>
            <w:vAlign w:val="center"/>
          </w:tcPr>
          <w:p w14:paraId="0DCD5EE0">
            <w:pPr>
              <w:jc w:val="center"/>
              <w:rPr>
                <w:b w:val="0"/>
                <w:bCs/>
                <w:color w:val="auto"/>
                <w:szCs w:val="21"/>
              </w:rPr>
            </w:pPr>
            <w:r>
              <w:rPr>
                <w:b w:val="0"/>
                <w:bCs/>
                <w:color w:val="auto"/>
                <w:szCs w:val="21"/>
              </w:rPr>
              <w:t>必选</w:t>
            </w:r>
          </w:p>
        </w:tc>
        <w:tc>
          <w:tcPr>
            <w:tcW w:w="1120" w:type="dxa"/>
            <w:vAlign w:val="center"/>
          </w:tcPr>
          <w:p w14:paraId="38C45B2D">
            <w:pPr>
              <w:jc w:val="center"/>
              <w:rPr>
                <w:b w:val="0"/>
                <w:bCs/>
                <w:color w:val="auto"/>
                <w:szCs w:val="21"/>
              </w:rPr>
            </w:pPr>
            <w:r>
              <w:rPr>
                <w:b w:val="0"/>
                <w:bCs/>
                <w:color w:val="auto"/>
                <w:szCs w:val="21"/>
              </w:rPr>
              <w:t>必选</w:t>
            </w:r>
          </w:p>
        </w:tc>
        <w:tc>
          <w:tcPr>
            <w:tcW w:w="932" w:type="dxa"/>
            <w:vAlign w:val="center"/>
          </w:tcPr>
          <w:p w14:paraId="47B2E28E">
            <w:pPr>
              <w:jc w:val="center"/>
              <w:rPr>
                <w:b w:val="0"/>
                <w:bCs/>
                <w:color w:val="auto"/>
                <w:szCs w:val="21"/>
              </w:rPr>
            </w:pPr>
            <w:r>
              <w:rPr>
                <w:b w:val="0"/>
                <w:bCs/>
                <w:color w:val="auto"/>
                <w:szCs w:val="21"/>
              </w:rPr>
              <w:t>必选</w:t>
            </w:r>
          </w:p>
        </w:tc>
        <w:tc>
          <w:tcPr>
            <w:tcW w:w="992" w:type="dxa"/>
            <w:vAlign w:val="center"/>
          </w:tcPr>
          <w:p w14:paraId="4FF7D036">
            <w:pPr>
              <w:jc w:val="center"/>
              <w:rPr>
                <w:b w:val="0"/>
                <w:bCs/>
                <w:color w:val="auto"/>
                <w:szCs w:val="21"/>
              </w:rPr>
            </w:pPr>
            <w:r>
              <w:rPr>
                <w:b w:val="0"/>
                <w:bCs/>
                <w:color w:val="auto"/>
                <w:szCs w:val="21"/>
              </w:rPr>
              <w:t>可选</w:t>
            </w:r>
          </w:p>
        </w:tc>
        <w:tc>
          <w:tcPr>
            <w:tcW w:w="709" w:type="dxa"/>
            <w:vAlign w:val="center"/>
          </w:tcPr>
          <w:p w14:paraId="5A045678">
            <w:pPr>
              <w:jc w:val="center"/>
              <w:rPr>
                <w:b w:val="0"/>
                <w:bCs/>
                <w:color w:val="auto"/>
                <w:szCs w:val="21"/>
              </w:rPr>
            </w:pPr>
            <w:r>
              <w:rPr>
                <w:rFonts w:hint="eastAsia"/>
                <w:b w:val="0"/>
                <w:bCs/>
                <w:color w:val="auto"/>
                <w:szCs w:val="21"/>
              </w:rPr>
              <w:t>可选</w:t>
            </w:r>
          </w:p>
        </w:tc>
      </w:tr>
      <w:tr w14:paraId="5503C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596A233C">
            <w:pPr>
              <w:jc w:val="center"/>
              <w:rPr>
                <w:b w:val="0"/>
                <w:bCs/>
                <w:color w:val="auto"/>
                <w:szCs w:val="21"/>
              </w:rPr>
            </w:pPr>
            <w:r>
              <w:rPr>
                <w:b w:val="0"/>
                <w:bCs/>
                <w:color w:val="auto"/>
                <w:szCs w:val="21"/>
              </w:rPr>
              <w:t>10</w:t>
            </w:r>
          </w:p>
        </w:tc>
        <w:tc>
          <w:tcPr>
            <w:tcW w:w="2820" w:type="dxa"/>
          </w:tcPr>
          <w:p w14:paraId="661D3EE8">
            <w:pPr>
              <w:rPr>
                <w:b w:val="0"/>
                <w:bCs/>
                <w:color w:val="auto"/>
                <w:szCs w:val="21"/>
              </w:rPr>
            </w:pPr>
            <w:r>
              <w:rPr>
                <w:rFonts w:hint="eastAsia"/>
                <w:b w:val="0"/>
                <w:bCs/>
                <w:color w:val="auto"/>
                <w:szCs w:val="21"/>
              </w:rPr>
              <w:t>成套设备保护逻辑功能试验</w:t>
            </w:r>
          </w:p>
        </w:tc>
        <w:tc>
          <w:tcPr>
            <w:tcW w:w="1120" w:type="dxa"/>
            <w:vAlign w:val="center"/>
          </w:tcPr>
          <w:p w14:paraId="48BB7BFB">
            <w:pPr>
              <w:jc w:val="center"/>
              <w:rPr>
                <w:b w:val="0"/>
                <w:bCs/>
                <w:color w:val="auto"/>
                <w:szCs w:val="21"/>
              </w:rPr>
            </w:pPr>
            <w:r>
              <w:rPr>
                <w:rFonts w:hint="eastAsia"/>
                <w:b w:val="0"/>
                <w:bCs/>
                <w:color w:val="auto"/>
                <w:szCs w:val="21"/>
              </w:rPr>
              <w:t>可选</w:t>
            </w:r>
          </w:p>
        </w:tc>
        <w:tc>
          <w:tcPr>
            <w:tcW w:w="1120" w:type="dxa"/>
            <w:vAlign w:val="center"/>
          </w:tcPr>
          <w:p w14:paraId="55D42149">
            <w:pPr>
              <w:jc w:val="center"/>
              <w:rPr>
                <w:b w:val="0"/>
                <w:bCs/>
                <w:color w:val="auto"/>
                <w:szCs w:val="21"/>
              </w:rPr>
            </w:pPr>
            <w:r>
              <w:rPr>
                <w:rFonts w:hint="eastAsia"/>
                <w:b w:val="0"/>
                <w:bCs/>
                <w:color w:val="auto"/>
                <w:szCs w:val="21"/>
              </w:rPr>
              <w:t>可选</w:t>
            </w:r>
          </w:p>
        </w:tc>
        <w:tc>
          <w:tcPr>
            <w:tcW w:w="932" w:type="dxa"/>
            <w:vAlign w:val="center"/>
          </w:tcPr>
          <w:p w14:paraId="09455294">
            <w:pPr>
              <w:jc w:val="center"/>
              <w:rPr>
                <w:b w:val="0"/>
                <w:bCs/>
                <w:color w:val="auto"/>
                <w:szCs w:val="21"/>
              </w:rPr>
            </w:pPr>
            <w:r>
              <w:rPr>
                <w:b w:val="0"/>
                <w:bCs/>
                <w:color w:val="auto"/>
                <w:szCs w:val="21"/>
              </w:rPr>
              <w:t>必选</w:t>
            </w:r>
          </w:p>
        </w:tc>
        <w:tc>
          <w:tcPr>
            <w:tcW w:w="992" w:type="dxa"/>
            <w:vAlign w:val="center"/>
          </w:tcPr>
          <w:p w14:paraId="2C971F4B">
            <w:pPr>
              <w:jc w:val="center"/>
              <w:rPr>
                <w:b w:val="0"/>
                <w:bCs/>
                <w:color w:val="auto"/>
                <w:szCs w:val="21"/>
              </w:rPr>
            </w:pPr>
            <w:r>
              <w:rPr>
                <w:b w:val="0"/>
                <w:bCs/>
                <w:color w:val="auto"/>
                <w:szCs w:val="21"/>
              </w:rPr>
              <w:t>可选</w:t>
            </w:r>
          </w:p>
        </w:tc>
        <w:tc>
          <w:tcPr>
            <w:tcW w:w="709" w:type="dxa"/>
            <w:vAlign w:val="center"/>
          </w:tcPr>
          <w:p w14:paraId="28489137">
            <w:pPr>
              <w:jc w:val="center"/>
              <w:rPr>
                <w:b w:val="0"/>
                <w:bCs/>
                <w:color w:val="auto"/>
                <w:szCs w:val="21"/>
              </w:rPr>
            </w:pPr>
            <w:r>
              <w:rPr>
                <w:rFonts w:hint="eastAsia"/>
                <w:b w:val="0"/>
                <w:bCs/>
                <w:color w:val="auto"/>
                <w:szCs w:val="21"/>
              </w:rPr>
              <w:t>可选</w:t>
            </w:r>
          </w:p>
        </w:tc>
      </w:tr>
      <w:tr w14:paraId="0228E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1D7F3778">
            <w:pPr>
              <w:jc w:val="center"/>
              <w:rPr>
                <w:b w:val="0"/>
                <w:bCs/>
                <w:color w:val="auto"/>
                <w:szCs w:val="21"/>
              </w:rPr>
            </w:pPr>
            <w:r>
              <w:rPr>
                <w:b w:val="0"/>
                <w:bCs/>
                <w:color w:val="auto"/>
                <w:szCs w:val="21"/>
              </w:rPr>
              <w:t>11</w:t>
            </w:r>
          </w:p>
        </w:tc>
        <w:tc>
          <w:tcPr>
            <w:tcW w:w="2820" w:type="dxa"/>
          </w:tcPr>
          <w:p w14:paraId="38F03B4C">
            <w:pPr>
              <w:rPr>
                <w:b w:val="0"/>
                <w:bCs/>
                <w:color w:val="auto"/>
                <w:szCs w:val="21"/>
              </w:rPr>
            </w:pPr>
            <w:r>
              <w:rPr>
                <w:rFonts w:hint="eastAsia"/>
                <w:b w:val="0"/>
                <w:bCs/>
                <w:color w:val="auto"/>
                <w:szCs w:val="21"/>
              </w:rPr>
              <w:t>成套设备通讯功能试验</w:t>
            </w:r>
          </w:p>
        </w:tc>
        <w:tc>
          <w:tcPr>
            <w:tcW w:w="1120" w:type="dxa"/>
            <w:vAlign w:val="center"/>
          </w:tcPr>
          <w:p w14:paraId="59B2980E">
            <w:pPr>
              <w:jc w:val="center"/>
              <w:rPr>
                <w:b w:val="0"/>
                <w:bCs/>
                <w:color w:val="auto"/>
                <w:szCs w:val="21"/>
              </w:rPr>
            </w:pPr>
            <w:r>
              <w:rPr>
                <w:b w:val="0"/>
                <w:bCs/>
                <w:color w:val="auto"/>
                <w:szCs w:val="21"/>
              </w:rPr>
              <w:t>--</w:t>
            </w:r>
          </w:p>
        </w:tc>
        <w:tc>
          <w:tcPr>
            <w:tcW w:w="1120" w:type="dxa"/>
            <w:vAlign w:val="center"/>
          </w:tcPr>
          <w:p w14:paraId="68CF3C43">
            <w:pPr>
              <w:jc w:val="center"/>
              <w:rPr>
                <w:b w:val="0"/>
                <w:bCs/>
                <w:color w:val="auto"/>
                <w:szCs w:val="21"/>
              </w:rPr>
            </w:pPr>
            <w:r>
              <w:rPr>
                <w:b w:val="0"/>
                <w:bCs/>
                <w:color w:val="auto"/>
                <w:szCs w:val="21"/>
              </w:rPr>
              <w:t>必选</w:t>
            </w:r>
          </w:p>
        </w:tc>
        <w:tc>
          <w:tcPr>
            <w:tcW w:w="932" w:type="dxa"/>
            <w:vAlign w:val="center"/>
          </w:tcPr>
          <w:p w14:paraId="685B4989">
            <w:pPr>
              <w:jc w:val="center"/>
              <w:rPr>
                <w:b w:val="0"/>
                <w:bCs/>
                <w:color w:val="auto"/>
                <w:szCs w:val="21"/>
              </w:rPr>
            </w:pPr>
            <w:r>
              <w:rPr>
                <w:b w:val="0"/>
                <w:bCs/>
                <w:color w:val="auto"/>
                <w:szCs w:val="21"/>
              </w:rPr>
              <w:t>必选</w:t>
            </w:r>
          </w:p>
        </w:tc>
        <w:tc>
          <w:tcPr>
            <w:tcW w:w="992" w:type="dxa"/>
            <w:vAlign w:val="center"/>
          </w:tcPr>
          <w:p w14:paraId="6D522B52">
            <w:pPr>
              <w:jc w:val="center"/>
              <w:rPr>
                <w:b w:val="0"/>
                <w:bCs/>
                <w:color w:val="auto"/>
                <w:szCs w:val="21"/>
              </w:rPr>
            </w:pPr>
            <w:r>
              <w:rPr>
                <w:b w:val="0"/>
                <w:bCs/>
                <w:color w:val="auto"/>
                <w:szCs w:val="21"/>
              </w:rPr>
              <w:t>可选</w:t>
            </w:r>
          </w:p>
        </w:tc>
        <w:tc>
          <w:tcPr>
            <w:tcW w:w="709" w:type="dxa"/>
            <w:vAlign w:val="center"/>
          </w:tcPr>
          <w:p w14:paraId="1048AED9">
            <w:pPr>
              <w:jc w:val="center"/>
              <w:rPr>
                <w:b w:val="0"/>
                <w:bCs/>
                <w:color w:val="auto"/>
                <w:szCs w:val="21"/>
              </w:rPr>
            </w:pPr>
            <w:r>
              <w:rPr>
                <w:rFonts w:hint="eastAsia"/>
                <w:b w:val="0"/>
                <w:bCs/>
                <w:color w:val="auto"/>
                <w:szCs w:val="21"/>
              </w:rPr>
              <w:t>可选</w:t>
            </w:r>
          </w:p>
        </w:tc>
      </w:tr>
      <w:tr w14:paraId="3DF25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79AB5763">
            <w:pPr>
              <w:jc w:val="center"/>
              <w:rPr>
                <w:b w:val="0"/>
                <w:bCs/>
                <w:color w:val="auto"/>
                <w:szCs w:val="21"/>
              </w:rPr>
            </w:pPr>
            <w:r>
              <w:rPr>
                <w:b w:val="0"/>
                <w:bCs/>
                <w:color w:val="auto"/>
                <w:szCs w:val="21"/>
              </w:rPr>
              <w:t>12</w:t>
            </w:r>
          </w:p>
        </w:tc>
        <w:tc>
          <w:tcPr>
            <w:tcW w:w="2820" w:type="dxa"/>
          </w:tcPr>
          <w:p w14:paraId="551B27B9">
            <w:pPr>
              <w:rPr>
                <w:b w:val="0"/>
                <w:bCs/>
                <w:color w:val="auto"/>
                <w:szCs w:val="21"/>
              </w:rPr>
            </w:pPr>
            <w:r>
              <w:rPr>
                <w:rFonts w:hint="eastAsia"/>
                <w:b w:val="0"/>
                <w:bCs/>
                <w:color w:val="auto"/>
                <w:szCs w:val="21"/>
              </w:rPr>
              <w:t>成套设备电源试验</w:t>
            </w:r>
          </w:p>
        </w:tc>
        <w:tc>
          <w:tcPr>
            <w:tcW w:w="1120" w:type="dxa"/>
            <w:vAlign w:val="center"/>
          </w:tcPr>
          <w:p w14:paraId="63B11284">
            <w:pPr>
              <w:jc w:val="center"/>
              <w:rPr>
                <w:b w:val="0"/>
                <w:bCs/>
                <w:color w:val="auto"/>
                <w:szCs w:val="21"/>
              </w:rPr>
            </w:pPr>
            <w:r>
              <w:rPr>
                <w:b w:val="0"/>
                <w:bCs/>
                <w:color w:val="auto"/>
                <w:szCs w:val="21"/>
              </w:rPr>
              <w:t>--</w:t>
            </w:r>
          </w:p>
        </w:tc>
        <w:tc>
          <w:tcPr>
            <w:tcW w:w="1120" w:type="dxa"/>
            <w:vAlign w:val="center"/>
          </w:tcPr>
          <w:p w14:paraId="33996883">
            <w:pPr>
              <w:jc w:val="center"/>
              <w:rPr>
                <w:b w:val="0"/>
                <w:bCs/>
                <w:color w:val="auto"/>
                <w:szCs w:val="21"/>
              </w:rPr>
            </w:pPr>
            <w:r>
              <w:rPr>
                <w:b w:val="0"/>
                <w:bCs/>
                <w:color w:val="auto"/>
                <w:szCs w:val="21"/>
              </w:rPr>
              <w:t>--</w:t>
            </w:r>
          </w:p>
        </w:tc>
        <w:tc>
          <w:tcPr>
            <w:tcW w:w="932" w:type="dxa"/>
            <w:vAlign w:val="center"/>
          </w:tcPr>
          <w:p w14:paraId="4A142984">
            <w:pPr>
              <w:jc w:val="center"/>
              <w:rPr>
                <w:b w:val="0"/>
                <w:bCs/>
                <w:color w:val="auto"/>
                <w:szCs w:val="21"/>
              </w:rPr>
            </w:pPr>
            <w:r>
              <w:rPr>
                <w:b w:val="0"/>
                <w:bCs/>
                <w:color w:val="auto"/>
                <w:szCs w:val="21"/>
              </w:rPr>
              <w:t>必选</w:t>
            </w:r>
          </w:p>
        </w:tc>
        <w:tc>
          <w:tcPr>
            <w:tcW w:w="992" w:type="dxa"/>
            <w:vAlign w:val="center"/>
          </w:tcPr>
          <w:p w14:paraId="16432BA6">
            <w:pPr>
              <w:jc w:val="center"/>
              <w:rPr>
                <w:b w:val="0"/>
                <w:bCs/>
                <w:color w:val="auto"/>
                <w:szCs w:val="21"/>
              </w:rPr>
            </w:pPr>
            <w:r>
              <w:rPr>
                <w:b w:val="0"/>
                <w:bCs/>
                <w:color w:val="auto"/>
                <w:szCs w:val="21"/>
              </w:rPr>
              <w:t>--</w:t>
            </w:r>
          </w:p>
        </w:tc>
        <w:tc>
          <w:tcPr>
            <w:tcW w:w="709" w:type="dxa"/>
            <w:vAlign w:val="center"/>
          </w:tcPr>
          <w:p w14:paraId="4F762DAF">
            <w:pPr>
              <w:jc w:val="center"/>
              <w:rPr>
                <w:b w:val="0"/>
                <w:bCs/>
                <w:color w:val="auto"/>
                <w:szCs w:val="21"/>
              </w:rPr>
            </w:pPr>
            <w:r>
              <w:rPr>
                <w:rFonts w:hint="eastAsia"/>
                <w:b w:val="0"/>
                <w:bCs/>
                <w:color w:val="auto"/>
                <w:szCs w:val="21"/>
              </w:rPr>
              <w:t>可选</w:t>
            </w:r>
          </w:p>
        </w:tc>
      </w:tr>
      <w:tr w14:paraId="3758A3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2A0F2D84">
            <w:pPr>
              <w:jc w:val="center"/>
              <w:rPr>
                <w:b w:val="0"/>
                <w:bCs/>
                <w:color w:val="auto"/>
                <w:szCs w:val="21"/>
              </w:rPr>
            </w:pPr>
            <w:r>
              <w:rPr>
                <w:rFonts w:hint="eastAsia"/>
                <w:b w:val="0"/>
                <w:bCs/>
                <w:color w:val="auto"/>
                <w:szCs w:val="21"/>
              </w:rPr>
              <w:t>13</w:t>
            </w:r>
          </w:p>
        </w:tc>
        <w:tc>
          <w:tcPr>
            <w:tcW w:w="2820" w:type="dxa"/>
          </w:tcPr>
          <w:p w14:paraId="38FA2976">
            <w:pPr>
              <w:rPr>
                <w:b w:val="0"/>
                <w:bCs/>
                <w:color w:val="auto"/>
                <w:szCs w:val="21"/>
              </w:rPr>
            </w:pPr>
            <w:r>
              <w:rPr>
                <w:rFonts w:hint="eastAsia"/>
                <w:b w:val="0"/>
                <w:bCs/>
                <w:color w:val="auto"/>
                <w:szCs w:val="21"/>
              </w:rPr>
              <w:t>环境试验</w:t>
            </w:r>
          </w:p>
        </w:tc>
        <w:tc>
          <w:tcPr>
            <w:tcW w:w="1120" w:type="dxa"/>
            <w:vAlign w:val="center"/>
          </w:tcPr>
          <w:p w14:paraId="3C2A51A7">
            <w:pPr>
              <w:jc w:val="center"/>
              <w:rPr>
                <w:b w:val="0"/>
                <w:bCs/>
                <w:color w:val="auto"/>
                <w:szCs w:val="21"/>
              </w:rPr>
            </w:pPr>
            <w:r>
              <w:rPr>
                <w:b w:val="0"/>
                <w:bCs/>
                <w:color w:val="auto"/>
                <w:szCs w:val="21"/>
              </w:rPr>
              <w:t>--</w:t>
            </w:r>
          </w:p>
        </w:tc>
        <w:tc>
          <w:tcPr>
            <w:tcW w:w="1120" w:type="dxa"/>
            <w:vAlign w:val="center"/>
          </w:tcPr>
          <w:p w14:paraId="68AA7076">
            <w:pPr>
              <w:jc w:val="center"/>
              <w:rPr>
                <w:b w:val="0"/>
                <w:bCs/>
                <w:color w:val="auto"/>
                <w:szCs w:val="21"/>
              </w:rPr>
            </w:pPr>
            <w:r>
              <w:rPr>
                <w:b w:val="0"/>
                <w:bCs/>
                <w:color w:val="auto"/>
                <w:szCs w:val="21"/>
              </w:rPr>
              <w:t>--</w:t>
            </w:r>
          </w:p>
        </w:tc>
        <w:tc>
          <w:tcPr>
            <w:tcW w:w="932" w:type="dxa"/>
            <w:vAlign w:val="center"/>
          </w:tcPr>
          <w:p w14:paraId="350339DF">
            <w:pPr>
              <w:jc w:val="center"/>
              <w:rPr>
                <w:b w:val="0"/>
                <w:bCs/>
                <w:color w:val="auto"/>
                <w:szCs w:val="21"/>
              </w:rPr>
            </w:pPr>
            <w:r>
              <w:rPr>
                <w:b w:val="0"/>
                <w:bCs/>
                <w:color w:val="auto"/>
                <w:szCs w:val="21"/>
              </w:rPr>
              <w:t>必选</w:t>
            </w:r>
          </w:p>
        </w:tc>
        <w:tc>
          <w:tcPr>
            <w:tcW w:w="992" w:type="dxa"/>
            <w:vAlign w:val="center"/>
          </w:tcPr>
          <w:p w14:paraId="68FEE279">
            <w:pPr>
              <w:jc w:val="center"/>
              <w:rPr>
                <w:b w:val="0"/>
                <w:bCs/>
                <w:color w:val="auto"/>
                <w:szCs w:val="21"/>
              </w:rPr>
            </w:pPr>
            <w:r>
              <w:rPr>
                <w:b w:val="0"/>
                <w:bCs/>
                <w:color w:val="auto"/>
                <w:szCs w:val="21"/>
              </w:rPr>
              <w:t>--</w:t>
            </w:r>
          </w:p>
        </w:tc>
        <w:tc>
          <w:tcPr>
            <w:tcW w:w="709" w:type="dxa"/>
            <w:vAlign w:val="center"/>
          </w:tcPr>
          <w:p w14:paraId="4424EFC0">
            <w:pPr>
              <w:jc w:val="center"/>
              <w:rPr>
                <w:b w:val="0"/>
                <w:bCs/>
                <w:color w:val="auto"/>
                <w:szCs w:val="21"/>
              </w:rPr>
            </w:pPr>
            <w:r>
              <w:rPr>
                <w:rFonts w:hint="eastAsia"/>
                <w:b w:val="0"/>
                <w:bCs/>
                <w:color w:val="auto"/>
                <w:szCs w:val="21"/>
              </w:rPr>
              <w:t>可选</w:t>
            </w:r>
          </w:p>
        </w:tc>
      </w:tr>
      <w:tr w14:paraId="76BD42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2" w:hRule="atLeast"/>
          <w:jc w:val="center"/>
        </w:trPr>
        <w:tc>
          <w:tcPr>
            <w:tcW w:w="666" w:type="dxa"/>
            <w:vAlign w:val="center"/>
          </w:tcPr>
          <w:p w14:paraId="0D1CC906">
            <w:pPr>
              <w:jc w:val="center"/>
              <w:rPr>
                <w:b w:val="0"/>
                <w:bCs/>
                <w:color w:val="auto"/>
                <w:szCs w:val="21"/>
              </w:rPr>
            </w:pPr>
            <w:r>
              <w:rPr>
                <w:rFonts w:hint="eastAsia"/>
                <w:b w:val="0"/>
                <w:bCs/>
                <w:color w:val="auto"/>
                <w:szCs w:val="21"/>
              </w:rPr>
              <w:t>14</w:t>
            </w:r>
          </w:p>
        </w:tc>
        <w:tc>
          <w:tcPr>
            <w:tcW w:w="2820" w:type="dxa"/>
          </w:tcPr>
          <w:p w14:paraId="6383B28A">
            <w:pPr>
              <w:rPr>
                <w:b w:val="0"/>
                <w:bCs/>
                <w:color w:val="auto"/>
                <w:szCs w:val="21"/>
              </w:rPr>
            </w:pPr>
            <w:r>
              <w:rPr>
                <w:rFonts w:hint="eastAsia"/>
                <w:b w:val="0"/>
                <w:bCs/>
                <w:color w:val="auto"/>
                <w:szCs w:val="21"/>
              </w:rPr>
              <w:t>电磁兼容试验</w:t>
            </w:r>
          </w:p>
        </w:tc>
        <w:tc>
          <w:tcPr>
            <w:tcW w:w="1120" w:type="dxa"/>
            <w:vAlign w:val="center"/>
          </w:tcPr>
          <w:p w14:paraId="5F9E0CFB">
            <w:pPr>
              <w:jc w:val="center"/>
              <w:rPr>
                <w:b w:val="0"/>
                <w:bCs/>
                <w:color w:val="auto"/>
                <w:szCs w:val="21"/>
              </w:rPr>
            </w:pPr>
            <w:r>
              <w:rPr>
                <w:b w:val="0"/>
                <w:bCs/>
                <w:color w:val="auto"/>
                <w:szCs w:val="21"/>
              </w:rPr>
              <w:t>--</w:t>
            </w:r>
          </w:p>
        </w:tc>
        <w:tc>
          <w:tcPr>
            <w:tcW w:w="1120" w:type="dxa"/>
            <w:vAlign w:val="center"/>
          </w:tcPr>
          <w:p w14:paraId="5F395502">
            <w:pPr>
              <w:jc w:val="center"/>
              <w:rPr>
                <w:b w:val="0"/>
                <w:bCs/>
                <w:color w:val="auto"/>
                <w:szCs w:val="21"/>
              </w:rPr>
            </w:pPr>
            <w:r>
              <w:rPr>
                <w:b w:val="0"/>
                <w:bCs/>
                <w:color w:val="auto"/>
                <w:szCs w:val="21"/>
              </w:rPr>
              <w:t>--</w:t>
            </w:r>
          </w:p>
        </w:tc>
        <w:tc>
          <w:tcPr>
            <w:tcW w:w="932" w:type="dxa"/>
            <w:vAlign w:val="center"/>
          </w:tcPr>
          <w:p w14:paraId="10DAC469">
            <w:pPr>
              <w:jc w:val="center"/>
              <w:rPr>
                <w:b w:val="0"/>
                <w:bCs/>
                <w:color w:val="auto"/>
                <w:szCs w:val="21"/>
              </w:rPr>
            </w:pPr>
            <w:r>
              <w:rPr>
                <w:b w:val="0"/>
                <w:bCs/>
                <w:color w:val="auto"/>
                <w:szCs w:val="21"/>
              </w:rPr>
              <w:t>必选</w:t>
            </w:r>
          </w:p>
        </w:tc>
        <w:tc>
          <w:tcPr>
            <w:tcW w:w="992" w:type="dxa"/>
            <w:vAlign w:val="center"/>
          </w:tcPr>
          <w:p w14:paraId="459026CF">
            <w:pPr>
              <w:jc w:val="center"/>
              <w:rPr>
                <w:b w:val="0"/>
                <w:bCs/>
                <w:color w:val="auto"/>
                <w:szCs w:val="21"/>
              </w:rPr>
            </w:pPr>
            <w:r>
              <w:rPr>
                <w:b w:val="0"/>
                <w:bCs/>
                <w:color w:val="auto"/>
                <w:szCs w:val="21"/>
              </w:rPr>
              <w:t>--</w:t>
            </w:r>
          </w:p>
        </w:tc>
        <w:tc>
          <w:tcPr>
            <w:tcW w:w="709" w:type="dxa"/>
            <w:vAlign w:val="center"/>
          </w:tcPr>
          <w:p w14:paraId="1C6E82EE">
            <w:pPr>
              <w:jc w:val="center"/>
              <w:rPr>
                <w:b w:val="0"/>
                <w:bCs/>
                <w:color w:val="auto"/>
                <w:szCs w:val="21"/>
              </w:rPr>
            </w:pPr>
            <w:r>
              <w:rPr>
                <w:rFonts w:hint="eastAsia"/>
                <w:b w:val="0"/>
                <w:bCs/>
                <w:color w:val="auto"/>
                <w:szCs w:val="21"/>
              </w:rPr>
              <w:t>可选</w:t>
            </w:r>
          </w:p>
        </w:tc>
      </w:tr>
    </w:tbl>
    <w:p w14:paraId="0305D65D">
      <w:pPr>
        <w:jc w:val="left"/>
        <w:rPr>
          <w:rFonts w:ascii="宋体" w:hAnsi="宋体" w:eastAsia="宋体" w:cs="宋体"/>
          <w:b w:val="0"/>
          <w:bCs/>
          <w:color w:val="auto"/>
          <w:sz w:val="24"/>
        </w:rPr>
      </w:pPr>
    </w:p>
    <w:p w14:paraId="55D0032C">
      <w:pPr>
        <w:pStyle w:val="6"/>
        <w:spacing w:before="0" w:after="0" w:line="360" w:lineRule="auto"/>
        <w:rPr>
          <w:rFonts w:hint="eastAsia" w:ascii="黑体" w:hAnsi="黑体" w:eastAsia="黑体" w:cs="黑体"/>
          <w:b w:val="0"/>
          <w:bCs/>
          <w:color w:val="auto"/>
          <w:sz w:val="21"/>
          <w:szCs w:val="21"/>
        </w:rPr>
      </w:pPr>
      <w:bookmarkStart w:id="127" w:name="_Toc3016_WPSOffice_Level2"/>
      <w:r>
        <w:rPr>
          <w:rFonts w:hint="eastAsia" w:ascii="黑体" w:hAnsi="黑体" w:eastAsia="黑体" w:cs="黑体"/>
          <w:b w:val="0"/>
          <w:bCs/>
          <w:color w:val="auto"/>
          <w:sz w:val="21"/>
          <w:szCs w:val="21"/>
        </w:rPr>
        <w:t>8.2 出厂试验</w:t>
      </w:r>
      <w:bookmarkEnd w:id="127"/>
      <w:r>
        <w:rPr>
          <w:rFonts w:hint="eastAsia" w:ascii="黑体" w:hAnsi="黑体" w:eastAsia="黑体" w:cs="黑体"/>
          <w:b w:val="0"/>
          <w:bCs/>
          <w:color w:val="auto"/>
          <w:sz w:val="21"/>
          <w:szCs w:val="21"/>
        </w:rPr>
        <w:t xml:space="preserve"> </w:t>
      </w:r>
    </w:p>
    <w:p w14:paraId="7564D624">
      <w:pPr>
        <w:pStyle w:val="44"/>
        <w:ind w:firstLine="396"/>
        <w:rPr>
          <w:rFonts w:ascii="宋体" w:hAnsi="宋体" w:eastAsia="宋体" w:cs="宋体"/>
          <w:b w:val="0"/>
          <w:bCs/>
          <w:color w:val="auto"/>
          <w:szCs w:val="21"/>
        </w:rPr>
      </w:pPr>
      <w:r>
        <w:rPr>
          <w:rFonts w:hint="eastAsia" w:ascii="宋体" w:hAnsi="宋体" w:eastAsia="宋体" w:cs="宋体"/>
          <w:b w:val="0"/>
          <w:bCs/>
          <w:color w:val="auto"/>
          <w:spacing w:val="-6"/>
          <w:szCs w:val="21"/>
        </w:rPr>
        <w:t>a）</w:t>
      </w:r>
      <w:r>
        <w:rPr>
          <w:rFonts w:hint="eastAsia" w:ascii="宋体" w:hAnsi="宋体" w:eastAsia="宋体" w:cs="宋体"/>
          <w:b w:val="0"/>
          <w:bCs/>
          <w:color w:val="auto"/>
          <w:szCs w:val="21"/>
        </w:rPr>
        <w:t>产品出厂之前，必须进行出厂验收试验。全部出厂试验项目合格后才发放产品合格证；</w:t>
      </w:r>
    </w:p>
    <w:p w14:paraId="5B415C7F">
      <w:pPr>
        <w:pStyle w:val="44"/>
        <w:rPr>
          <w:rFonts w:ascii="宋体" w:hAnsi="宋体" w:eastAsia="宋体" w:cs="宋体"/>
          <w:b w:val="0"/>
          <w:bCs/>
          <w:color w:val="auto"/>
          <w:szCs w:val="21"/>
        </w:rPr>
      </w:pPr>
      <w:r>
        <w:rPr>
          <w:rFonts w:hint="eastAsia" w:ascii="宋体" w:hAnsi="宋体" w:eastAsia="宋体" w:cs="宋体"/>
          <w:b w:val="0"/>
          <w:bCs/>
          <w:color w:val="auto"/>
          <w:szCs w:val="21"/>
        </w:rPr>
        <w:t>b</w:t>
      </w:r>
      <w:r>
        <w:rPr>
          <w:rFonts w:hint="eastAsia" w:ascii="宋体" w:hAnsi="宋体" w:eastAsia="宋体" w:cs="宋体"/>
          <w:b w:val="0"/>
          <w:bCs/>
          <w:color w:val="auto"/>
          <w:spacing w:val="-6"/>
          <w:szCs w:val="21"/>
        </w:rPr>
        <w:t>）</w:t>
      </w:r>
      <w:r>
        <w:rPr>
          <w:rFonts w:hint="eastAsia" w:ascii="宋体" w:hAnsi="宋体" w:eastAsia="宋体" w:cs="宋体"/>
          <w:b w:val="0"/>
          <w:bCs/>
          <w:color w:val="auto"/>
          <w:szCs w:val="21"/>
        </w:rPr>
        <w:t>出厂试验应符合GB/T 3906、DL/T 404及DL/T 593中的规定．还应符合相应产品标准及本标准的规定。</w:t>
      </w:r>
    </w:p>
    <w:p w14:paraId="150FED16">
      <w:pPr>
        <w:pStyle w:val="6"/>
        <w:spacing w:before="0" w:after="0" w:line="360" w:lineRule="auto"/>
        <w:rPr>
          <w:rFonts w:hint="eastAsia" w:ascii="黑体" w:hAnsi="黑体" w:eastAsia="黑体" w:cs="黑体"/>
          <w:b w:val="0"/>
          <w:bCs/>
          <w:color w:val="auto"/>
          <w:sz w:val="21"/>
          <w:szCs w:val="21"/>
        </w:rPr>
      </w:pPr>
      <w:bookmarkStart w:id="128" w:name="_Toc8800_WPSOffice_Level2"/>
      <w:r>
        <w:rPr>
          <w:rFonts w:hint="eastAsia" w:ascii="黑体" w:hAnsi="黑体" w:eastAsia="黑体" w:cs="黑体"/>
          <w:b w:val="0"/>
          <w:bCs/>
          <w:color w:val="auto"/>
          <w:sz w:val="21"/>
          <w:szCs w:val="21"/>
        </w:rPr>
        <w:t>8.3交接试验</w:t>
      </w:r>
      <w:bookmarkEnd w:id="128"/>
    </w:p>
    <w:p w14:paraId="11CB19D6">
      <w:pPr>
        <w:pStyle w:val="44"/>
        <w:ind w:firstLine="396"/>
        <w:rPr>
          <w:rFonts w:ascii="宋体" w:hAnsi="宋体" w:eastAsia="宋体" w:cs="宋体"/>
          <w:b w:val="0"/>
          <w:bCs/>
          <w:color w:val="auto"/>
          <w:spacing w:val="-6"/>
          <w:szCs w:val="21"/>
        </w:rPr>
      </w:pPr>
      <w:r>
        <w:rPr>
          <w:rFonts w:hint="eastAsia" w:ascii="宋体" w:hAnsi="宋体" w:eastAsia="宋体" w:cs="宋体"/>
          <w:b w:val="0"/>
          <w:bCs/>
          <w:color w:val="auto"/>
          <w:spacing w:val="-6"/>
          <w:szCs w:val="21"/>
        </w:rPr>
        <w:t>a）现场交接试验应按GB 50150和 DL/T 404的要求进行；</w:t>
      </w:r>
    </w:p>
    <w:p w14:paraId="00E1C542">
      <w:pPr>
        <w:pStyle w:val="44"/>
        <w:ind w:firstLine="396"/>
        <w:rPr>
          <w:rFonts w:ascii="宋体" w:hAnsi="宋体" w:eastAsia="宋体" w:cs="宋体"/>
          <w:b w:val="0"/>
          <w:bCs/>
          <w:color w:val="auto"/>
          <w:spacing w:val="-6"/>
          <w:szCs w:val="21"/>
        </w:rPr>
      </w:pPr>
      <w:r>
        <w:rPr>
          <w:rFonts w:hint="eastAsia" w:ascii="宋体" w:hAnsi="宋体" w:eastAsia="宋体" w:cs="宋体"/>
          <w:b w:val="0"/>
          <w:bCs/>
          <w:color w:val="auto"/>
          <w:spacing w:val="-6"/>
          <w:szCs w:val="21"/>
        </w:rPr>
        <w:t>b）试验时投标人应派代表参加，所有试验结果均应符合产品的技术要求。</w:t>
      </w:r>
    </w:p>
    <w:p w14:paraId="21C5CC70">
      <w:pPr>
        <w:pStyle w:val="6"/>
        <w:spacing w:before="0" w:after="0" w:line="360" w:lineRule="auto"/>
        <w:rPr>
          <w:rFonts w:hint="eastAsia" w:ascii="黑体" w:hAnsi="黑体" w:eastAsia="黑体" w:cs="黑体"/>
          <w:b w:val="0"/>
          <w:bCs/>
          <w:color w:val="auto"/>
          <w:sz w:val="21"/>
          <w:szCs w:val="21"/>
        </w:rPr>
      </w:pPr>
      <w:bookmarkStart w:id="129" w:name="_Toc11202_WPSOffice_Level2"/>
      <w:r>
        <w:rPr>
          <w:rFonts w:hint="eastAsia" w:ascii="黑体" w:hAnsi="黑体" w:eastAsia="黑体" w:cs="黑体"/>
          <w:b w:val="0"/>
          <w:bCs/>
          <w:color w:val="auto"/>
          <w:sz w:val="21"/>
          <w:szCs w:val="21"/>
        </w:rPr>
        <w:t>8.4 入网专业检测</w:t>
      </w:r>
      <w:bookmarkEnd w:id="129"/>
      <w:r>
        <w:rPr>
          <w:rFonts w:hint="eastAsia" w:ascii="黑体" w:hAnsi="黑体" w:eastAsia="黑体" w:cs="黑体"/>
          <w:b w:val="0"/>
          <w:bCs/>
          <w:color w:val="auto"/>
          <w:sz w:val="21"/>
          <w:szCs w:val="21"/>
        </w:rPr>
        <w:t xml:space="preserve"> </w:t>
      </w:r>
    </w:p>
    <w:p w14:paraId="3E3CBC80">
      <w:pPr>
        <w:ind w:firstLine="420" w:firstLineChars="200"/>
        <w:rPr>
          <w:b w:val="0"/>
          <w:bCs/>
          <w:color w:val="auto"/>
          <w:szCs w:val="21"/>
        </w:rPr>
      </w:pPr>
      <w:r>
        <w:rPr>
          <w:b w:val="0"/>
          <w:bCs/>
          <w:color w:val="auto"/>
          <w:szCs w:val="21"/>
        </w:rPr>
        <w:t>按照</w:t>
      </w:r>
      <w:r>
        <w:rPr>
          <w:rFonts w:hint="eastAsia"/>
          <w:b w:val="0"/>
          <w:bCs/>
          <w:color w:val="auto"/>
          <w:szCs w:val="21"/>
        </w:rPr>
        <w:t>使用单位</w:t>
      </w:r>
      <w:r>
        <w:rPr>
          <w:b w:val="0"/>
          <w:bCs/>
          <w:color w:val="auto"/>
          <w:szCs w:val="21"/>
        </w:rPr>
        <w:t>要求，应对自动化成套设备在招标采购前进行入网专业检测，如果整体设备设计结构、元器件、固件等发生变化影响产品性能参数，应重新进行入网专业检测</w:t>
      </w:r>
      <w:r>
        <w:rPr>
          <w:rFonts w:hint="eastAsia"/>
          <w:b w:val="0"/>
          <w:bCs/>
          <w:color w:val="auto"/>
          <w:szCs w:val="21"/>
        </w:rPr>
        <w:t>。</w:t>
      </w:r>
    </w:p>
    <w:p w14:paraId="211AE55A">
      <w:pPr>
        <w:pStyle w:val="6"/>
        <w:spacing w:before="0" w:after="0" w:line="360" w:lineRule="auto"/>
        <w:rPr>
          <w:rFonts w:ascii="黑体" w:hAnsi="黑体" w:eastAsia="黑体" w:cs="黑体"/>
          <w:b w:val="0"/>
          <w:bCs/>
          <w:color w:val="auto"/>
          <w:sz w:val="21"/>
          <w:szCs w:val="21"/>
        </w:rPr>
      </w:pPr>
      <w:bookmarkStart w:id="130" w:name="_Toc6793_WPSOffice_Level2"/>
      <w:r>
        <w:rPr>
          <w:rFonts w:hint="eastAsia" w:ascii="黑体" w:hAnsi="黑体" w:eastAsia="黑体" w:cs="黑体"/>
          <w:b w:val="0"/>
          <w:bCs/>
          <w:color w:val="auto"/>
          <w:sz w:val="21"/>
          <w:szCs w:val="21"/>
        </w:rPr>
        <w:t>8.5 预防性试验</w:t>
      </w:r>
      <w:bookmarkEnd w:id="130"/>
    </w:p>
    <w:p w14:paraId="1376534E">
      <w:pPr>
        <w:pStyle w:val="44"/>
        <w:ind w:firstLine="396"/>
        <w:rPr>
          <w:rFonts w:ascii="宋体" w:hAnsi="宋体" w:eastAsia="宋体" w:cs="宋体"/>
          <w:b w:val="0"/>
          <w:bCs/>
          <w:color w:val="auto"/>
          <w:sz w:val="24"/>
        </w:rPr>
      </w:pPr>
      <w:r>
        <w:rPr>
          <w:b w:val="0"/>
          <w:bCs/>
          <w:color w:val="auto"/>
          <w:spacing w:val="-6"/>
          <w:szCs w:val="21"/>
        </w:rPr>
        <w:t>预防性试验</w:t>
      </w:r>
      <w:r>
        <w:rPr>
          <w:rFonts w:hint="eastAsia"/>
          <w:b w:val="0"/>
          <w:bCs/>
          <w:color w:val="auto"/>
          <w:spacing w:val="-6"/>
          <w:szCs w:val="21"/>
        </w:rPr>
        <w:t>是</w:t>
      </w:r>
      <w:r>
        <w:rPr>
          <w:b w:val="0"/>
          <w:bCs/>
          <w:color w:val="auto"/>
          <w:spacing w:val="-6"/>
          <w:szCs w:val="21"/>
        </w:rPr>
        <w:t>为了发现运行中设备的隐患，预防发生事故或设备损坏，对设备进行的检查、试验或监测</w:t>
      </w:r>
      <w:r>
        <w:rPr>
          <w:rFonts w:hint="eastAsia"/>
          <w:b w:val="0"/>
          <w:bCs/>
          <w:color w:val="auto"/>
          <w:spacing w:val="-6"/>
          <w:szCs w:val="21"/>
        </w:rPr>
        <w:t>。</w:t>
      </w:r>
    </w:p>
    <w:p w14:paraId="74068926">
      <w:pPr>
        <w:pStyle w:val="6"/>
        <w:spacing w:before="0" w:after="0" w:line="360" w:lineRule="auto"/>
        <w:rPr>
          <w:rFonts w:ascii="黑体" w:hAnsi="黑体" w:eastAsia="黑体" w:cs="黑体"/>
          <w:b w:val="0"/>
          <w:bCs/>
          <w:color w:val="auto"/>
          <w:sz w:val="21"/>
          <w:szCs w:val="21"/>
        </w:rPr>
      </w:pPr>
      <w:bookmarkStart w:id="131" w:name="_Toc15710_WPSOffice_Level2"/>
      <w:r>
        <w:rPr>
          <w:rFonts w:hint="eastAsia" w:ascii="黑体" w:hAnsi="黑体" w:eastAsia="黑体" w:cs="黑体"/>
          <w:b w:val="0"/>
          <w:bCs/>
          <w:color w:val="auto"/>
          <w:sz w:val="21"/>
          <w:szCs w:val="21"/>
        </w:rPr>
        <w:t>8.6 到货验收</w:t>
      </w:r>
      <w:bookmarkEnd w:id="131"/>
    </w:p>
    <w:p w14:paraId="51530007">
      <w:pPr>
        <w:pStyle w:val="44"/>
        <w:ind w:firstLine="396"/>
        <w:rPr>
          <w:b w:val="0"/>
          <w:bCs/>
          <w:color w:val="auto"/>
          <w:spacing w:val="-6"/>
          <w:szCs w:val="21"/>
        </w:rPr>
      </w:pPr>
      <w:r>
        <w:rPr>
          <w:rFonts w:hint="eastAsia"/>
          <w:b w:val="0"/>
          <w:bCs/>
          <w:color w:val="auto"/>
          <w:spacing w:val="-6"/>
          <w:szCs w:val="21"/>
        </w:rPr>
        <w:t>设备到后，招标方可以根据需要按照比例对批次设备进行到货验收检测。</w:t>
      </w:r>
    </w:p>
    <w:bookmarkEnd w:id="123"/>
    <w:bookmarkEnd w:id="124"/>
    <w:bookmarkEnd w:id="125"/>
    <w:p w14:paraId="5F9A032F">
      <w:pPr>
        <w:pStyle w:val="4"/>
        <w:tabs>
          <w:tab w:val="left" w:pos="2040"/>
        </w:tabs>
        <w:spacing w:before="0" w:after="0" w:line="360" w:lineRule="auto"/>
        <w:rPr>
          <w:rFonts w:ascii="黑体" w:hAnsi="黑体" w:eastAsia="黑体" w:cs="Times New Roman"/>
          <w:b w:val="0"/>
          <w:bCs/>
          <w:color w:val="auto"/>
          <w:sz w:val="21"/>
          <w:szCs w:val="20"/>
          <w:lang w:val="zh-CN"/>
        </w:rPr>
      </w:pPr>
      <w:bookmarkStart w:id="132" w:name="_Toc119491273"/>
      <w:bookmarkStart w:id="133" w:name="_Toc119492317"/>
      <w:r>
        <w:rPr>
          <w:rFonts w:hint="eastAsia" w:ascii="黑体" w:hAnsi="黑体" w:eastAsia="黑体" w:cs="Times New Roman"/>
          <w:b w:val="0"/>
          <w:bCs/>
          <w:color w:val="auto"/>
          <w:sz w:val="21"/>
          <w:szCs w:val="20"/>
          <w:lang w:val="zh-CN"/>
        </w:rPr>
        <w:t>9 包装、 运输、 安装、 存储及维护要求</w:t>
      </w:r>
      <w:bookmarkEnd w:id="132"/>
      <w:bookmarkEnd w:id="133"/>
      <w:r>
        <w:rPr>
          <w:rFonts w:hint="eastAsia" w:ascii="黑体" w:hAnsi="黑体" w:eastAsia="黑体" w:cs="Times New Roman"/>
          <w:b w:val="0"/>
          <w:bCs/>
          <w:color w:val="auto"/>
          <w:sz w:val="21"/>
          <w:szCs w:val="20"/>
          <w:lang w:val="zh-CN"/>
        </w:rPr>
        <w:t xml:space="preserve">  </w:t>
      </w:r>
    </w:p>
    <w:p w14:paraId="6634B500">
      <w:pPr>
        <w:ind w:firstLine="420" w:firstLineChars="200"/>
        <w:jc w:val="left"/>
        <w:rPr>
          <w:rFonts w:ascii="Times New Roman" w:hAnsi="Times New Roman" w:eastAsia="宋体" w:cs="Times New Roman"/>
          <w:b w:val="0"/>
          <w:bCs/>
          <w:color w:val="auto"/>
          <w:szCs w:val="20"/>
        </w:rPr>
      </w:pPr>
      <w:r>
        <w:rPr>
          <w:rFonts w:hint="eastAsia" w:ascii="Times New Roman" w:hAnsi="Times New Roman" w:eastAsia="宋体" w:cs="Times New Roman"/>
          <w:b w:val="0"/>
          <w:bCs/>
          <w:color w:val="auto"/>
          <w:szCs w:val="20"/>
        </w:rPr>
        <w:t>成套设备</w:t>
      </w:r>
      <w:r>
        <w:rPr>
          <w:rFonts w:ascii="Times New Roman" w:hAnsi="Times New Roman" w:eastAsia="宋体" w:cs="Times New Roman"/>
          <w:b w:val="0"/>
          <w:bCs/>
          <w:color w:val="auto"/>
          <w:szCs w:val="20"/>
        </w:rPr>
        <w:t xml:space="preserve">包装、 运输、 安装、 存储及维护应满足的标准 </w:t>
      </w:r>
      <w:r>
        <w:rPr>
          <w:rFonts w:hint="eastAsia" w:ascii="宋体" w:hAnsi="宋体" w:eastAsia="宋体" w:cs="宋体"/>
          <w:b w:val="0"/>
          <w:bCs/>
          <w:color w:val="auto"/>
          <w:szCs w:val="20"/>
        </w:rPr>
        <w:t>GB/T 11022</w:t>
      </w:r>
      <w:r>
        <w:rPr>
          <w:rFonts w:hint="eastAsia" w:ascii="Times New Roman" w:hAnsi="Times New Roman" w:eastAsia="宋体" w:cs="Times New Roman"/>
          <w:b w:val="0"/>
          <w:bCs/>
          <w:color w:val="auto"/>
          <w:szCs w:val="20"/>
        </w:rPr>
        <w:t>中相关规定，</w:t>
      </w:r>
      <w:r>
        <w:rPr>
          <w:rFonts w:ascii="Times New Roman" w:hAnsi="Times New Roman" w:eastAsia="宋体" w:cs="Times New Roman"/>
          <w:b w:val="0"/>
          <w:bCs/>
          <w:color w:val="auto"/>
          <w:szCs w:val="20"/>
        </w:rPr>
        <w:t xml:space="preserve">如用户有特殊性要求， 制造厂在提供的文件中应详细说明。 </w:t>
      </w:r>
    </w:p>
    <w:p w14:paraId="590BB696">
      <w:pPr>
        <w:jc w:val="left"/>
        <w:rPr>
          <w:rFonts w:ascii="宋体" w:hAnsi="宋体" w:eastAsia="宋体" w:cs="宋体"/>
          <w:b w:val="0"/>
          <w:bCs/>
          <w:color w:val="auto"/>
          <w:sz w:val="24"/>
        </w:rPr>
      </w:pPr>
      <w:r>
        <w:rPr>
          <w:rFonts w:ascii="宋体" w:hAnsi="宋体" w:eastAsia="宋体" w:cs="宋体"/>
          <w:b w:val="0"/>
          <w:bCs/>
          <w:color w:val="auto"/>
          <w:sz w:val="24"/>
        </w:rPr>
        <mc:AlternateContent>
          <mc:Choice Requires="wps">
            <w:drawing>
              <wp:anchor distT="0" distB="0" distL="114300" distR="114300" simplePos="0" relativeHeight="251661312" behindDoc="0" locked="0" layoutInCell="1" allowOverlap="1">
                <wp:simplePos x="0" y="0"/>
                <wp:positionH relativeFrom="margin">
                  <wp:posOffset>1808480</wp:posOffset>
                </wp:positionH>
                <wp:positionV relativeFrom="paragraph">
                  <wp:posOffset>283845</wp:posOffset>
                </wp:positionV>
                <wp:extent cx="1619885" cy="0"/>
                <wp:effectExtent l="8255" t="6350" r="10160" b="12700"/>
                <wp:wrapTopAndBottom/>
                <wp:docPr id="2" name="AutoShape 1026"/>
                <wp:cNvGraphicFramePr/>
                <a:graphic xmlns:a="http://schemas.openxmlformats.org/drawingml/2006/main">
                  <a:graphicData uri="http://schemas.microsoft.com/office/word/2010/wordprocessingShape">
                    <wps:wsp>
                      <wps:cNvCnPr>
                        <a:cxnSpLocks noChangeShapeType="1"/>
                      </wps:cNvCnPr>
                      <wps:spPr bwMode="auto">
                        <a:xfrm>
                          <a:off x="0" y="0"/>
                          <a:ext cx="1619885" cy="0"/>
                        </a:xfrm>
                        <a:prstGeom prst="straightConnector1">
                          <a:avLst/>
                        </a:prstGeom>
                        <a:noFill/>
                        <a:ln w="6350">
                          <a:solidFill>
                            <a:schemeClr val="dk1">
                              <a:lumMod val="100000"/>
                              <a:lumOff val="0"/>
                            </a:schemeClr>
                          </a:solidFill>
                          <a:miter lim="800000"/>
                        </a:ln>
                      </wps:spPr>
                      <wps:bodyPr/>
                    </wps:wsp>
                  </a:graphicData>
                </a:graphic>
              </wp:anchor>
            </w:drawing>
          </mc:Choice>
          <mc:Fallback>
            <w:pict>
              <v:shape id="AutoShape 1026" o:spid="_x0000_s1026" o:spt="32" type="#_x0000_t32" style="position:absolute;left:0pt;margin-left:142.4pt;margin-top:22.35pt;height:0pt;width:127.55pt;mso-position-horizontal-relative:margin;mso-wrap-distance-bottom:0pt;mso-wrap-distance-top:0pt;z-index:251661312;mso-width-relative:page;mso-height-relative:page;" filled="f" stroked="t" coordsize="21600,21600" o:gfxdata="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">
                <v:fill on="f" focussize="0,0"/>
                <v:stroke weight="0.5pt" color="#000000 [3216]" miterlimit="8" joinstyle="miter"/>
                <v:imagedata o:title=""/>
                <o:lock v:ext="edit" aspectratio="f"/>
                <w10:wrap type="topAndBottom"/>
              </v:shape>
            </w:pict>
          </mc:Fallback>
        </mc:AlternateContent>
      </w:r>
    </w:p>
    <w:sectPr>
      <w:pgSz w:w="11906" w:h="16838"/>
      <w:pgMar w:top="1440" w:right="1800" w:bottom="1440" w:left="1800" w:header="851"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方正书宋简体">
    <w:altName w:val="宋体"/>
    <w:panose1 w:val="00000000000000000000"/>
    <w:charset w:val="86"/>
    <w:family w:val="auto"/>
    <w:pitch w:val="default"/>
    <w:sig w:usb0="00000000" w:usb1="00000000" w:usb2="00000000" w:usb3="00000000" w:csb0="00060000" w:csb1="00000000"/>
  </w:font>
  <w:font w:name="EU-F1">
    <w:altName w:val="黑体"/>
    <w:panose1 w:val="00000000000000000000"/>
    <w:charset w:val="86"/>
    <w:family w:val="script"/>
    <w:pitch w:val="default"/>
    <w:sig w:usb0="00000000" w:usb1="00000000" w:usb2="00000010" w:usb3="00000000" w:csb0="00040000" w:csb1="00000000"/>
  </w:font>
  <w:font w:name="Calibri Light">
    <w:panose1 w:val="020F0302020204030204"/>
    <w:charset w:val="00"/>
    <w:family w:val="swiss"/>
    <w:pitch w:val="default"/>
    <w:sig w:usb0="E4002EFF" w:usb1="C000247B" w:usb2="00000009" w:usb3="00000000" w:csb0="200001FF" w:csb1="00000000"/>
  </w:font>
  <w:font w:name="Cambria Math">
    <w:panose1 w:val="02040503050406030204"/>
    <w:charset w:val="00"/>
    <w:family w:val="roman"/>
    <w:pitch w:val="default"/>
    <w:sig w:usb0="E00006FF" w:usb1="420024FF" w:usb2="02000000" w:usb3="00000000" w:csb0="2000019F"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864234707"/>
    </w:sdtPr>
    <w:sdtContent>
      <w:p w14:paraId="79A466BA">
        <w:pPr>
          <w:pStyle w:val="15"/>
          <w:jc w:val="center"/>
        </w:pPr>
        <w:r>
          <w:fldChar w:fldCharType="begin"/>
        </w:r>
        <w:r>
          <w:instrText xml:space="preserve">PAGE   \* MERGEFORMAT</w:instrText>
        </w:r>
        <w:r>
          <w:fldChar w:fldCharType="separate"/>
        </w:r>
        <w:r>
          <w:rPr>
            <w:lang w:val="zh-CN"/>
          </w:rPr>
          <w:t>16</w:t>
        </w:r>
        <w:r>
          <w:rPr>
            <w:lang w:val="zh-CN"/>
          </w:rPr>
          <w:fldChar w:fldCharType="end"/>
        </w:r>
      </w:p>
    </w:sdtContent>
  </w:sdt>
  <w:p w14:paraId="4590771A">
    <w:pPr>
      <w:pStyle w:val="1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4CC8FC">
    <w:pPr>
      <w:pStyle w:val="1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C38906D">
    <w:pPr>
      <w:pStyle w:val="15"/>
      <w:ind w:left="1680" w:right="180"/>
      <w:jc w:val="right"/>
      <w:rPr>
        <w:rFonts w:ascii="Times New Roman" w:hAnsi="Times New Roman" w:cs="Times New Roman"/>
      </w:rP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147476896"/>
    </w:sdtPr>
    <w:sdtContent>
      <w:p w14:paraId="139EDAE1">
        <w:pPr>
          <w:pStyle w:val="15"/>
          <w:jc w:val="center"/>
        </w:pPr>
        <w:r>
          <w:fldChar w:fldCharType="begin"/>
        </w:r>
        <w:r>
          <w:instrText xml:space="preserve">PAGE   \* MERGEFORMAT</w:instrText>
        </w:r>
        <w:r>
          <w:fldChar w:fldCharType="separate"/>
        </w:r>
        <w:r>
          <w:rPr>
            <w:lang w:val="zh-CN"/>
          </w:rPr>
          <w:t>16</w:t>
        </w:r>
        <w:r>
          <w:rPr>
            <w:lang w:val="zh-CN"/>
          </w:rPr>
          <w:fldChar w:fldCharType="end"/>
        </w:r>
      </w:p>
    </w:sdtContent>
  </w:sdt>
  <w:p w14:paraId="0DC8ECAC">
    <w:pPr>
      <w:pStyle w:val="15"/>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C2A260">
    <w:pPr>
      <w:pStyle w:val="15"/>
      <w:ind w:left="1680" w:right="180"/>
      <w:jc w:val="right"/>
      <w:rPr>
        <w:rFonts w:ascii="Times New Roman" w:hAnsi="Times New Roman" w:cs="Times New Roman"/>
      </w:rPr>
    </w:pPr>
    <w:r>
      <w:rPr>
        <w:rStyle w:val="30"/>
        <w:rFonts w:ascii="Times New Roman" w:hAnsi="Times New Roman" w:eastAsia="宋体" w:cs="Times New Roman"/>
        <w:i w:val="0"/>
        <w:iCs w:val="0"/>
        <w:shd w:val="clear" w:color="auto" w:fill="FFFFFF"/>
      </w:rPr>
      <w:t>Ⅰ</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991EAA">
    <w:pPr>
      <w:pStyle w:val="15"/>
      <w:ind w:right="180" w:firstLine="4140" w:firstLineChars="2300"/>
      <w:jc w:val="both"/>
      <w:rPr>
        <w:rStyle w:val="30"/>
        <w:rFonts w:ascii="Times New Roman" w:hAnsi="Times New Roman" w:eastAsia="宋体" w:cs="Times New Roman"/>
        <w:i w:val="0"/>
        <w:iCs w:val="0"/>
        <w:shd w:val="clear" w:color="auto" w:fill="FFFFFF"/>
      </w:rPr>
    </w:pPr>
    <w:r>
      <w:rPr>
        <w:rStyle w:val="30"/>
        <w:rFonts w:ascii="Times New Roman" w:hAnsi="Times New Roman" w:eastAsia="宋体" w:cs="Times New Roman"/>
        <w:i w:val="0"/>
        <w:iCs w:val="0"/>
        <w:shd w:val="clear" w:color="auto" w:fill="FFFFFF"/>
      </w:rPr>
      <w:t>Ⅱ</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454939">
    <w:pPr>
      <w:pStyle w:val="16"/>
      <w:pBdr>
        <w:bottom w:val="none" w:color="auto" w:sz="0" w:space="1"/>
      </w:pBdr>
      <w:rPr>
        <w:rFonts w:hint="default" w:eastAsiaTheme="minorEastAsia"/>
        <w:lang w:val="en-US" w:eastAsia="zh-CN"/>
      </w:rPr>
    </w:pPr>
    <w:r>
      <w:rPr>
        <w:rFonts w:hint="eastAsia"/>
        <w:lang w:val="en-US"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62135">
    <w:pPr>
      <w:pStyle w:val="1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B55670">
    <w:pPr>
      <w:pStyle w:val="16"/>
      <w:pBdr>
        <w:bottom w:val="none" w:color="auto" w:sz="0" w:space="1"/>
      </w:pBdr>
      <w:rPr>
        <w:rFonts w:hint="default" w:eastAsiaTheme="minorEastAsia"/>
        <w:lang w:val="en-US" w:eastAsia="zh-CN"/>
      </w:rPr>
    </w:pPr>
    <w:r>
      <w:rPr>
        <w:rFonts w:hint="eastAsia"/>
        <w:lang w:val="en-US" w:eastAsia="zh-CN"/>
      </w:rPr>
      <w:t xml:space="preserve">                                                                          </w:t>
    </w: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D51CE55">
    <w:pPr>
      <w:pStyle w:val="16"/>
      <w:pBdr>
        <w:bottom w:val="none" w:color="auto" w:sz="0" w:space="1"/>
      </w:pBdr>
      <w:rPr>
        <w:rFonts w:hint="default" w:eastAsiaTheme="minorEastAsia"/>
        <w:sz w:val="20"/>
        <w:szCs w:val="20"/>
        <w:lang w:val="en-US" w:eastAsia="zh-CN"/>
      </w:rPr>
    </w:pPr>
    <w:r>
      <w:rPr>
        <w:rFonts w:hint="eastAsia"/>
        <w:lang w:val="en-US" w:eastAsia="zh-CN"/>
      </w:rPr>
      <w:t xml:space="preserve">                                                                      </w:t>
    </w:r>
    <w:r>
      <w:rPr>
        <w:rFonts w:hint="eastAsia"/>
        <w:sz w:val="20"/>
        <w:szCs w:val="20"/>
        <w:lang w:val="en-US" w:eastAsia="zh-CN"/>
      </w:rPr>
      <w:t xml:space="preserve"> T/GSEE XXXX-XXX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FB86BFE"/>
    <w:multiLevelType w:val="multilevel"/>
    <w:tmpl w:val="8FB86BFE"/>
    <w:lvl w:ilvl="0" w:tentative="0">
      <w:start w:val="1"/>
      <w:numFmt w:val="lowerLetter"/>
      <w:lvlText w:val="%1)"/>
      <w:lvlJc w:val="left"/>
      <w:pPr>
        <w:ind w:left="840" w:hanging="420"/>
      </w:pPr>
    </w:lvl>
    <w:lvl w:ilvl="1" w:tentative="0">
      <w:start w:val="3"/>
      <w:numFmt w:val="decimal"/>
      <w:lvlText w:val="%2）"/>
      <w:lvlJc w:val="left"/>
      <w:pPr>
        <w:ind w:left="1200" w:hanging="360"/>
      </w:pPr>
      <w:rPr>
        <w:rFonts w:hint="default" w:ascii="宋体"/>
        <w:color w:val="FF0000"/>
        <w:sz w:val="24"/>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1">
    <w:nsid w:val="CB0FEB64"/>
    <w:multiLevelType w:val="singleLevel"/>
    <w:tmpl w:val="CB0FEB64"/>
    <w:lvl w:ilvl="0" w:tentative="0">
      <w:start w:val="1"/>
      <w:numFmt w:val="decimal"/>
      <w:suff w:val="space"/>
      <w:lvlText w:val="%1)"/>
      <w:lvlJc w:val="left"/>
    </w:lvl>
  </w:abstractNum>
  <w:abstractNum w:abstractNumId="2">
    <w:nsid w:val="2078F887"/>
    <w:multiLevelType w:val="singleLevel"/>
    <w:tmpl w:val="2078F887"/>
    <w:lvl w:ilvl="0" w:tentative="0">
      <w:start w:val="1"/>
      <w:numFmt w:val="decimal"/>
      <w:suff w:val="nothing"/>
      <w:lvlText w:val="（%1）"/>
      <w:lvlJc w:val="left"/>
    </w:lvl>
  </w:abstractNum>
  <w:abstractNum w:abstractNumId="3">
    <w:nsid w:val="76AF6049"/>
    <w:multiLevelType w:val="multilevel"/>
    <w:tmpl w:val="76AF6049"/>
    <w:lvl w:ilvl="0" w:tentative="0">
      <w:start w:val="1"/>
      <w:numFmt w:val="lowerLetter"/>
      <w:lvlText w:val="%1)"/>
      <w:lvlJc w:val="left"/>
      <w:pPr>
        <w:ind w:left="840" w:hanging="420"/>
      </w:pPr>
    </w:lvl>
    <w:lvl w:ilvl="1" w:tentative="0">
      <w:start w:val="3"/>
      <w:numFmt w:val="decimal"/>
      <w:lvlText w:val="%2）"/>
      <w:lvlJc w:val="left"/>
      <w:pPr>
        <w:ind w:left="1200" w:hanging="360"/>
      </w:pPr>
      <w:rPr>
        <w:rFonts w:hint="default" w:ascii="宋体"/>
        <w:color w:val="FF0000"/>
        <w:sz w:val="24"/>
      </w:r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num w:numId="1">
    <w:abstractNumId w:val="3"/>
  </w:num>
  <w:num w:numId="2">
    <w:abstractNumId w:val="0"/>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2YwMzZkYTkxYzllYmIyOWU1YWQ0ZjE0YTc2ZTNkY2QifQ=="/>
  </w:docVars>
  <w:rsids>
    <w:rsidRoot w:val="0089306B"/>
    <w:rsid w:val="00001EC6"/>
    <w:rsid w:val="00056775"/>
    <w:rsid w:val="00082FE8"/>
    <w:rsid w:val="000866D8"/>
    <w:rsid w:val="00095994"/>
    <w:rsid w:val="000A2F0A"/>
    <w:rsid w:val="000C5BBF"/>
    <w:rsid w:val="000D4BEB"/>
    <w:rsid w:val="000E52AC"/>
    <w:rsid w:val="000F595E"/>
    <w:rsid w:val="001166C3"/>
    <w:rsid w:val="001231BC"/>
    <w:rsid w:val="00142786"/>
    <w:rsid w:val="00155256"/>
    <w:rsid w:val="00155441"/>
    <w:rsid w:val="001602DE"/>
    <w:rsid w:val="0016270E"/>
    <w:rsid w:val="00165B0C"/>
    <w:rsid w:val="001841B7"/>
    <w:rsid w:val="001972A4"/>
    <w:rsid w:val="001B072D"/>
    <w:rsid w:val="001D5A1D"/>
    <w:rsid w:val="00205EE7"/>
    <w:rsid w:val="002231DB"/>
    <w:rsid w:val="00244958"/>
    <w:rsid w:val="002516A6"/>
    <w:rsid w:val="00252835"/>
    <w:rsid w:val="00262B4A"/>
    <w:rsid w:val="00263EE8"/>
    <w:rsid w:val="00267215"/>
    <w:rsid w:val="00282F8C"/>
    <w:rsid w:val="002A37A2"/>
    <w:rsid w:val="002A61D6"/>
    <w:rsid w:val="002C4B91"/>
    <w:rsid w:val="002D314D"/>
    <w:rsid w:val="002E53D9"/>
    <w:rsid w:val="002E5906"/>
    <w:rsid w:val="00311379"/>
    <w:rsid w:val="003204E5"/>
    <w:rsid w:val="00326B75"/>
    <w:rsid w:val="00337F1B"/>
    <w:rsid w:val="00353788"/>
    <w:rsid w:val="003544A3"/>
    <w:rsid w:val="0035628D"/>
    <w:rsid w:val="00357F56"/>
    <w:rsid w:val="00363CF9"/>
    <w:rsid w:val="0037264D"/>
    <w:rsid w:val="00383799"/>
    <w:rsid w:val="003860A8"/>
    <w:rsid w:val="00386965"/>
    <w:rsid w:val="003954E7"/>
    <w:rsid w:val="003C2218"/>
    <w:rsid w:val="003D7E9E"/>
    <w:rsid w:val="003E7FC7"/>
    <w:rsid w:val="00416544"/>
    <w:rsid w:val="0044352D"/>
    <w:rsid w:val="00445003"/>
    <w:rsid w:val="004604B3"/>
    <w:rsid w:val="00460809"/>
    <w:rsid w:val="004649BF"/>
    <w:rsid w:val="004655EB"/>
    <w:rsid w:val="00466176"/>
    <w:rsid w:val="0047012C"/>
    <w:rsid w:val="00487DC3"/>
    <w:rsid w:val="004A2F2F"/>
    <w:rsid w:val="004A7C65"/>
    <w:rsid w:val="004B3F72"/>
    <w:rsid w:val="004C75AD"/>
    <w:rsid w:val="004D7C18"/>
    <w:rsid w:val="004E3050"/>
    <w:rsid w:val="004E52F2"/>
    <w:rsid w:val="004E64E5"/>
    <w:rsid w:val="004E7F22"/>
    <w:rsid w:val="004F045F"/>
    <w:rsid w:val="004F0BFD"/>
    <w:rsid w:val="004F0E44"/>
    <w:rsid w:val="00515D11"/>
    <w:rsid w:val="005268FC"/>
    <w:rsid w:val="00537C28"/>
    <w:rsid w:val="00562888"/>
    <w:rsid w:val="00582FFD"/>
    <w:rsid w:val="005B7EF7"/>
    <w:rsid w:val="005C0210"/>
    <w:rsid w:val="005C74D5"/>
    <w:rsid w:val="005C7834"/>
    <w:rsid w:val="005D1948"/>
    <w:rsid w:val="005F08AC"/>
    <w:rsid w:val="005F2230"/>
    <w:rsid w:val="006120A6"/>
    <w:rsid w:val="006210B0"/>
    <w:rsid w:val="006277D9"/>
    <w:rsid w:val="00643E03"/>
    <w:rsid w:val="00694119"/>
    <w:rsid w:val="006A1919"/>
    <w:rsid w:val="006A4D46"/>
    <w:rsid w:val="006D498E"/>
    <w:rsid w:val="007450B1"/>
    <w:rsid w:val="007455AE"/>
    <w:rsid w:val="007A1D50"/>
    <w:rsid w:val="007A6201"/>
    <w:rsid w:val="007C3873"/>
    <w:rsid w:val="007C76A7"/>
    <w:rsid w:val="007D3232"/>
    <w:rsid w:val="007E561D"/>
    <w:rsid w:val="007F0CF5"/>
    <w:rsid w:val="00847383"/>
    <w:rsid w:val="008839E1"/>
    <w:rsid w:val="0089306B"/>
    <w:rsid w:val="008958C9"/>
    <w:rsid w:val="008A2BF6"/>
    <w:rsid w:val="008A2EB9"/>
    <w:rsid w:val="008B1FA0"/>
    <w:rsid w:val="008D2355"/>
    <w:rsid w:val="008F2F1D"/>
    <w:rsid w:val="009224FE"/>
    <w:rsid w:val="00940A96"/>
    <w:rsid w:val="0095533A"/>
    <w:rsid w:val="009673DF"/>
    <w:rsid w:val="00980E36"/>
    <w:rsid w:val="009826B1"/>
    <w:rsid w:val="00987CF9"/>
    <w:rsid w:val="009A4E83"/>
    <w:rsid w:val="009B24E0"/>
    <w:rsid w:val="009C7084"/>
    <w:rsid w:val="00A56442"/>
    <w:rsid w:val="00A57E27"/>
    <w:rsid w:val="00A634E0"/>
    <w:rsid w:val="00A752FA"/>
    <w:rsid w:val="00A81D22"/>
    <w:rsid w:val="00AE5381"/>
    <w:rsid w:val="00AF1990"/>
    <w:rsid w:val="00B030E3"/>
    <w:rsid w:val="00B207C4"/>
    <w:rsid w:val="00B23F7F"/>
    <w:rsid w:val="00B263AA"/>
    <w:rsid w:val="00B537B7"/>
    <w:rsid w:val="00B53B8C"/>
    <w:rsid w:val="00B5500E"/>
    <w:rsid w:val="00B76931"/>
    <w:rsid w:val="00B87B23"/>
    <w:rsid w:val="00BB3B12"/>
    <w:rsid w:val="00BD190A"/>
    <w:rsid w:val="00BE1F39"/>
    <w:rsid w:val="00BE515E"/>
    <w:rsid w:val="00C011C0"/>
    <w:rsid w:val="00C055DC"/>
    <w:rsid w:val="00C2337B"/>
    <w:rsid w:val="00C25017"/>
    <w:rsid w:val="00C52307"/>
    <w:rsid w:val="00C562CF"/>
    <w:rsid w:val="00C56D69"/>
    <w:rsid w:val="00C634E4"/>
    <w:rsid w:val="00C73077"/>
    <w:rsid w:val="00C77BB9"/>
    <w:rsid w:val="00C9202B"/>
    <w:rsid w:val="00C96B9B"/>
    <w:rsid w:val="00CE3FCC"/>
    <w:rsid w:val="00CE4928"/>
    <w:rsid w:val="00D20C86"/>
    <w:rsid w:val="00D45187"/>
    <w:rsid w:val="00D50B84"/>
    <w:rsid w:val="00D61496"/>
    <w:rsid w:val="00D81C02"/>
    <w:rsid w:val="00D96978"/>
    <w:rsid w:val="00DB5872"/>
    <w:rsid w:val="00DB72ED"/>
    <w:rsid w:val="00DE6102"/>
    <w:rsid w:val="00E02367"/>
    <w:rsid w:val="00E0392C"/>
    <w:rsid w:val="00E11183"/>
    <w:rsid w:val="00E12459"/>
    <w:rsid w:val="00E23FDF"/>
    <w:rsid w:val="00E71109"/>
    <w:rsid w:val="00E85CD5"/>
    <w:rsid w:val="00E945BE"/>
    <w:rsid w:val="00EA21C7"/>
    <w:rsid w:val="00EB1E74"/>
    <w:rsid w:val="00EB5D41"/>
    <w:rsid w:val="00EC374A"/>
    <w:rsid w:val="00EC7795"/>
    <w:rsid w:val="00EE49ED"/>
    <w:rsid w:val="00EF3D33"/>
    <w:rsid w:val="00F0406C"/>
    <w:rsid w:val="00F1092F"/>
    <w:rsid w:val="00F16AFE"/>
    <w:rsid w:val="00F43646"/>
    <w:rsid w:val="00F6268F"/>
    <w:rsid w:val="00F800AF"/>
    <w:rsid w:val="00FB5BEE"/>
    <w:rsid w:val="00FC6993"/>
    <w:rsid w:val="00FE08CD"/>
    <w:rsid w:val="00FF4B61"/>
    <w:rsid w:val="00FF5B0A"/>
    <w:rsid w:val="01AA1AC9"/>
    <w:rsid w:val="01B6046E"/>
    <w:rsid w:val="01D408F4"/>
    <w:rsid w:val="021A6C4F"/>
    <w:rsid w:val="02296E92"/>
    <w:rsid w:val="026116D0"/>
    <w:rsid w:val="0277484B"/>
    <w:rsid w:val="027A69BD"/>
    <w:rsid w:val="02820350"/>
    <w:rsid w:val="02EE146B"/>
    <w:rsid w:val="02F56D74"/>
    <w:rsid w:val="03060F81"/>
    <w:rsid w:val="030B2A3C"/>
    <w:rsid w:val="031511C4"/>
    <w:rsid w:val="031A67DB"/>
    <w:rsid w:val="0328539C"/>
    <w:rsid w:val="03374A7E"/>
    <w:rsid w:val="03404493"/>
    <w:rsid w:val="035532AA"/>
    <w:rsid w:val="0388408C"/>
    <w:rsid w:val="03890162"/>
    <w:rsid w:val="038A7E04"/>
    <w:rsid w:val="03A8028B"/>
    <w:rsid w:val="03F17167"/>
    <w:rsid w:val="04053E97"/>
    <w:rsid w:val="04270640"/>
    <w:rsid w:val="042C2C6A"/>
    <w:rsid w:val="043211BA"/>
    <w:rsid w:val="04DB5798"/>
    <w:rsid w:val="04F34F9D"/>
    <w:rsid w:val="058F34B0"/>
    <w:rsid w:val="05E03D0C"/>
    <w:rsid w:val="063D115E"/>
    <w:rsid w:val="06CD4EDD"/>
    <w:rsid w:val="06D8028D"/>
    <w:rsid w:val="07ED0962"/>
    <w:rsid w:val="0808754A"/>
    <w:rsid w:val="083723B0"/>
    <w:rsid w:val="084F780F"/>
    <w:rsid w:val="089C686E"/>
    <w:rsid w:val="091B6D1A"/>
    <w:rsid w:val="091E76CC"/>
    <w:rsid w:val="09322AD0"/>
    <w:rsid w:val="09436A8B"/>
    <w:rsid w:val="096E2862"/>
    <w:rsid w:val="09815806"/>
    <w:rsid w:val="098826F0"/>
    <w:rsid w:val="098A46BA"/>
    <w:rsid w:val="09D04097"/>
    <w:rsid w:val="09E007AB"/>
    <w:rsid w:val="0A0501E5"/>
    <w:rsid w:val="0A193C90"/>
    <w:rsid w:val="0A795BFD"/>
    <w:rsid w:val="0A7E680E"/>
    <w:rsid w:val="0ACB7502"/>
    <w:rsid w:val="0B354AFA"/>
    <w:rsid w:val="0B462863"/>
    <w:rsid w:val="0B5063E5"/>
    <w:rsid w:val="0BB26C91"/>
    <w:rsid w:val="0BBC5891"/>
    <w:rsid w:val="0C146407"/>
    <w:rsid w:val="0C372018"/>
    <w:rsid w:val="0CA26CEF"/>
    <w:rsid w:val="0CB437FC"/>
    <w:rsid w:val="0CBB102F"/>
    <w:rsid w:val="0CD914B5"/>
    <w:rsid w:val="0D390C2A"/>
    <w:rsid w:val="0D531267"/>
    <w:rsid w:val="0D837D9E"/>
    <w:rsid w:val="0D863B82"/>
    <w:rsid w:val="0E034A3B"/>
    <w:rsid w:val="0E35096D"/>
    <w:rsid w:val="0E4B0190"/>
    <w:rsid w:val="0E617303"/>
    <w:rsid w:val="0E64232B"/>
    <w:rsid w:val="0E7019A5"/>
    <w:rsid w:val="0E76345F"/>
    <w:rsid w:val="0E814F93"/>
    <w:rsid w:val="0E8813E4"/>
    <w:rsid w:val="0EAB0C42"/>
    <w:rsid w:val="0F655CE6"/>
    <w:rsid w:val="0F8467F5"/>
    <w:rsid w:val="0FA20284"/>
    <w:rsid w:val="1001493A"/>
    <w:rsid w:val="10233173"/>
    <w:rsid w:val="102E38C6"/>
    <w:rsid w:val="103233B6"/>
    <w:rsid w:val="1041184B"/>
    <w:rsid w:val="10797791"/>
    <w:rsid w:val="10806817"/>
    <w:rsid w:val="10841F15"/>
    <w:rsid w:val="108F0808"/>
    <w:rsid w:val="108F47C6"/>
    <w:rsid w:val="10C44295"/>
    <w:rsid w:val="10D64649"/>
    <w:rsid w:val="10DE52EC"/>
    <w:rsid w:val="112F5B47"/>
    <w:rsid w:val="114C494B"/>
    <w:rsid w:val="116E76D0"/>
    <w:rsid w:val="11797DBA"/>
    <w:rsid w:val="11A74CD6"/>
    <w:rsid w:val="11B00A36"/>
    <w:rsid w:val="11CD4D19"/>
    <w:rsid w:val="1202500A"/>
    <w:rsid w:val="121D3BF2"/>
    <w:rsid w:val="126204EB"/>
    <w:rsid w:val="126A09E7"/>
    <w:rsid w:val="1284365F"/>
    <w:rsid w:val="12AA6109"/>
    <w:rsid w:val="12CC7AF2"/>
    <w:rsid w:val="12D544CC"/>
    <w:rsid w:val="13345697"/>
    <w:rsid w:val="13897791"/>
    <w:rsid w:val="138E2FF9"/>
    <w:rsid w:val="141C3E90"/>
    <w:rsid w:val="14223741"/>
    <w:rsid w:val="14726DA4"/>
    <w:rsid w:val="14975EDD"/>
    <w:rsid w:val="14BC1DE8"/>
    <w:rsid w:val="14F1563D"/>
    <w:rsid w:val="15127C5A"/>
    <w:rsid w:val="152F4368"/>
    <w:rsid w:val="157E32B8"/>
    <w:rsid w:val="15AE1730"/>
    <w:rsid w:val="15BD3599"/>
    <w:rsid w:val="15D51A4A"/>
    <w:rsid w:val="15DB05CB"/>
    <w:rsid w:val="15F86E50"/>
    <w:rsid w:val="161F618A"/>
    <w:rsid w:val="16B315BD"/>
    <w:rsid w:val="16BF7084"/>
    <w:rsid w:val="16CB73DD"/>
    <w:rsid w:val="16D03928"/>
    <w:rsid w:val="16D056D6"/>
    <w:rsid w:val="16D336A7"/>
    <w:rsid w:val="171001C9"/>
    <w:rsid w:val="17501A39"/>
    <w:rsid w:val="178F71C6"/>
    <w:rsid w:val="17D17958"/>
    <w:rsid w:val="1811244B"/>
    <w:rsid w:val="182D79A6"/>
    <w:rsid w:val="18757C68"/>
    <w:rsid w:val="1897472C"/>
    <w:rsid w:val="18A40BC9"/>
    <w:rsid w:val="18D505A5"/>
    <w:rsid w:val="19031D93"/>
    <w:rsid w:val="19232435"/>
    <w:rsid w:val="19314F4E"/>
    <w:rsid w:val="19441D7F"/>
    <w:rsid w:val="19460CD5"/>
    <w:rsid w:val="19DD1E8A"/>
    <w:rsid w:val="19F95CE4"/>
    <w:rsid w:val="19FD23B4"/>
    <w:rsid w:val="1A036FC5"/>
    <w:rsid w:val="1A1E49AB"/>
    <w:rsid w:val="1A227AAB"/>
    <w:rsid w:val="1A4274FB"/>
    <w:rsid w:val="1A450189"/>
    <w:rsid w:val="1A514D80"/>
    <w:rsid w:val="1A736AA5"/>
    <w:rsid w:val="1A9F705B"/>
    <w:rsid w:val="1AF70A25"/>
    <w:rsid w:val="1B0E67CD"/>
    <w:rsid w:val="1B106ECE"/>
    <w:rsid w:val="1B185C6E"/>
    <w:rsid w:val="1B851185"/>
    <w:rsid w:val="1BA86FFE"/>
    <w:rsid w:val="1BBE6445"/>
    <w:rsid w:val="1BF06D71"/>
    <w:rsid w:val="1C0538A2"/>
    <w:rsid w:val="1C542906"/>
    <w:rsid w:val="1C580648"/>
    <w:rsid w:val="1C735ED8"/>
    <w:rsid w:val="1C7C6848"/>
    <w:rsid w:val="1C8116B4"/>
    <w:rsid w:val="1CA30EF0"/>
    <w:rsid w:val="1CA90EA4"/>
    <w:rsid w:val="1CBD66FD"/>
    <w:rsid w:val="1CD2105A"/>
    <w:rsid w:val="1CF245F9"/>
    <w:rsid w:val="1D3369BF"/>
    <w:rsid w:val="1D4B3D09"/>
    <w:rsid w:val="1D65301C"/>
    <w:rsid w:val="1D8B2357"/>
    <w:rsid w:val="1D9D2414"/>
    <w:rsid w:val="1E1E766F"/>
    <w:rsid w:val="1E592455"/>
    <w:rsid w:val="1E685A19"/>
    <w:rsid w:val="1E74728F"/>
    <w:rsid w:val="1E764DB5"/>
    <w:rsid w:val="1E8D45E5"/>
    <w:rsid w:val="1EF8115B"/>
    <w:rsid w:val="1F114ADE"/>
    <w:rsid w:val="1F15637C"/>
    <w:rsid w:val="1F617814"/>
    <w:rsid w:val="1F8D0609"/>
    <w:rsid w:val="1FAE7FD6"/>
    <w:rsid w:val="1FB042F7"/>
    <w:rsid w:val="1FE9256F"/>
    <w:rsid w:val="1FEB532F"/>
    <w:rsid w:val="1FED58AB"/>
    <w:rsid w:val="20146634"/>
    <w:rsid w:val="2021128C"/>
    <w:rsid w:val="205E1FA5"/>
    <w:rsid w:val="20C01E46"/>
    <w:rsid w:val="20D652BD"/>
    <w:rsid w:val="20FB12D8"/>
    <w:rsid w:val="211F34E2"/>
    <w:rsid w:val="21294361"/>
    <w:rsid w:val="21402B30"/>
    <w:rsid w:val="217A23F5"/>
    <w:rsid w:val="2181390C"/>
    <w:rsid w:val="219914E7"/>
    <w:rsid w:val="222C235B"/>
    <w:rsid w:val="225503E3"/>
    <w:rsid w:val="226863D1"/>
    <w:rsid w:val="226E2973"/>
    <w:rsid w:val="22CC6F10"/>
    <w:rsid w:val="2322550C"/>
    <w:rsid w:val="23566F63"/>
    <w:rsid w:val="23623B5A"/>
    <w:rsid w:val="23A45F21"/>
    <w:rsid w:val="23D20030"/>
    <w:rsid w:val="23E66539"/>
    <w:rsid w:val="242A28CA"/>
    <w:rsid w:val="244F2331"/>
    <w:rsid w:val="24637B8A"/>
    <w:rsid w:val="248144B4"/>
    <w:rsid w:val="24AF7273"/>
    <w:rsid w:val="24BC729A"/>
    <w:rsid w:val="24C148B0"/>
    <w:rsid w:val="24D52712"/>
    <w:rsid w:val="24F03ECC"/>
    <w:rsid w:val="24F97337"/>
    <w:rsid w:val="251215D8"/>
    <w:rsid w:val="25142A6C"/>
    <w:rsid w:val="251F61A7"/>
    <w:rsid w:val="25367FDB"/>
    <w:rsid w:val="25E76599"/>
    <w:rsid w:val="25EE5B79"/>
    <w:rsid w:val="25F25669"/>
    <w:rsid w:val="26146748"/>
    <w:rsid w:val="26393298"/>
    <w:rsid w:val="26C012A4"/>
    <w:rsid w:val="26D7485F"/>
    <w:rsid w:val="26D92385"/>
    <w:rsid w:val="271C43DB"/>
    <w:rsid w:val="272E0923"/>
    <w:rsid w:val="27AE47F5"/>
    <w:rsid w:val="27D8088F"/>
    <w:rsid w:val="27DA63B5"/>
    <w:rsid w:val="28186EDD"/>
    <w:rsid w:val="286F11F3"/>
    <w:rsid w:val="28A73002"/>
    <w:rsid w:val="28B906C0"/>
    <w:rsid w:val="295977AD"/>
    <w:rsid w:val="295D54F0"/>
    <w:rsid w:val="29820FB3"/>
    <w:rsid w:val="29AC5B2F"/>
    <w:rsid w:val="29BA46F0"/>
    <w:rsid w:val="29CC5E90"/>
    <w:rsid w:val="29FF6F50"/>
    <w:rsid w:val="2A110AAE"/>
    <w:rsid w:val="2A5A6EA2"/>
    <w:rsid w:val="2A7458E3"/>
    <w:rsid w:val="2A905451"/>
    <w:rsid w:val="2ABF1A03"/>
    <w:rsid w:val="2B083239"/>
    <w:rsid w:val="2B1361A8"/>
    <w:rsid w:val="2B4561F0"/>
    <w:rsid w:val="2BA57BA0"/>
    <w:rsid w:val="2C2A61E0"/>
    <w:rsid w:val="2C774D83"/>
    <w:rsid w:val="2C7A5B8E"/>
    <w:rsid w:val="2C7C437D"/>
    <w:rsid w:val="2CB14395"/>
    <w:rsid w:val="2CC43190"/>
    <w:rsid w:val="2CEB4BC0"/>
    <w:rsid w:val="2CFB65F8"/>
    <w:rsid w:val="2DA41E97"/>
    <w:rsid w:val="2DA57465"/>
    <w:rsid w:val="2DD41DEC"/>
    <w:rsid w:val="2E02175E"/>
    <w:rsid w:val="2E0917A2"/>
    <w:rsid w:val="2E186244"/>
    <w:rsid w:val="2E280717"/>
    <w:rsid w:val="2E487ED1"/>
    <w:rsid w:val="2E5029A5"/>
    <w:rsid w:val="2EC61441"/>
    <w:rsid w:val="2EDD30C6"/>
    <w:rsid w:val="2F0A3A24"/>
    <w:rsid w:val="2F113B84"/>
    <w:rsid w:val="2F1A353B"/>
    <w:rsid w:val="2F3565C7"/>
    <w:rsid w:val="2F9A2173"/>
    <w:rsid w:val="2FF66C94"/>
    <w:rsid w:val="2FF90F3E"/>
    <w:rsid w:val="30881FC6"/>
    <w:rsid w:val="30AB6B41"/>
    <w:rsid w:val="31104DCA"/>
    <w:rsid w:val="3113720C"/>
    <w:rsid w:val="31545EF3"/>
    <w:rsid w:val="31A014D2"/>
    <w:rsid w:val="31AC5F20"/>
    <w:rsid w:val="31D4539B"/>
    <w:rsid w:val="323D57A6"/>
    <w:rsid w:val="32537490"/>
    <w:rsid w:val="32643F6B"/>
    <w:rsid w:val="32987598"/>
    <w:rsid w:val="32B10B88"/>
    <w:rsid w:val="32B252AB"/>
    <w:rsid w:val="3304078A"/>
    <w:rsid w:val="33123368"/>
    <w:rsid w:val="331F3816"/>
    <w:rsid w:val="333D3C9C"/>
    <w:rsid w:val="33B444B2"/>
    <w:rsid w:val="33E8066B"/>
    <w:rsid w:val="33F95E15"/>
    <w:rsid w:val="3405419A"/>
    <w:rsid w:val="340A0022"/>
    <w:rsid w:val="34394463"/>
    <w:rsid w:val="343B7FD3"/>
    <w:rsid w:val="344A2B14"/>
    <w:rsid w:val="345446BC"/>
    <w:rsid w:val="346A6D13"/>
    <w:rsid w:val="34AC732B"/>
    <w:rsid w:val="34F068FA"/>
    <w:rsid w:val="34FB22C4"/>
    <w:rsid w:val="34FB796B"/>
    <w:rsid w:val="3538296D"/>
    <w:rsid w:val="355359F9"/>
    <w:rsid w:val="35F745D6"/>
    <w:rsid w:val="360162C2"/>
    <w:rsid w:val="360311CD"/>
    <w:rsid w:val="361772D6"/>
    <w:rsid w:val="36257395"/>
    <w:rsid w:val="36407D2B"/>
    <w:rsid w:val="36AD2EE7"/>
    <w:rsid w:val="36B64491"/>
    <w:rsid w:val="36DD1A1E"/>
    <w:rsid w:val="36EF3102"/>
    <w:rsid w:val="3702766F"/>
    <w:rsid w:val="37EB016A"/>
    <w:rsid w:val="380D33D5"/>
    <w:rsid w:val="38232898"/>
    <w:rsid w:val="383D0E41"/>
    <w:rsid w:val="385A62F6"/>
    <w:rsid w:val="38674F9F"/>
    <w:rsid w:val="38820085"/>
    <w:rsid w:val="38953129"/>
    <w:rsid w:val="38B93DC5"/>
    <w:rsid w:val="38C65B34"/>
    <w:rsid w:val="38D5339A"/>
    <w:rsid w:val="390A63CE"/>
    <w:rsid w:val="391E423C"/>
    <w:rsid w:val="397D3460"/>
    <w:rsid w:val="39AA2AAC"/>
    <w:rsid w:val="39C72E22"/>
    <w:rsid w:val="39DD722B"/>
    <w:rsid w:val="39E3734B"/>
    <w:rsid w:val="39EE5CF0"/>
    <w:rsid w:val="3A0318CF"/>
    <w:rsid w:val="3A145757"/>
    <w:rsid w:val="3A221DEF"/>
    <w:rsid w:val="3A325BDD"/>
    <w:rsid w:val="3A43603C"/>
    <w:rsid w:val="3A9248CD"/>
    <w:rsid w:val="3AAE6345"/>
    <w:rsid w:val="3AD46C94"/>
    <w:rsid w:val="3B196D9D"/>
    <w:rsid w:val="3B547DD5"/>
    <w:rsid w:val="3B570957"/>
    <w:rsid w:val="3B5725EA"/>
    <w:rsid w:val="3B914B85"/>
    <w:rsid w:val="3BAA6B07"/>
    <w:rsid w:val="3BB6283D"/>
    <w:rsid w:val="3C137C90"/>
    <w:rsid w:val="3C1F4887"/>
    <w:rsid w:val="3C2B4FD9"/>
    <w:rsid w:val="3C447E49"/>
    <w:rsid w:val="3C812E4B"/>
    <w:rsid w:val="3DD05E38"/>
    <w:rsid w:val="3DD87576"/>
    <w:rsid w:val="3DDC47DD"/>
    <w:rsid w:val="3DED69EA"/>
    <w:rsid w:val="3DF00289"/>
    <w:rsid w:val="3DF80DB8"/>
    <w:rsid w:val="3E266F05"/>
    <w:rsid w:val="3EB1313E"/>
    <w:rsid w:val="3EB819F0"/>
    <w:rsid w:val="3EC11302"/>
    <w:rsid w:val="3F0120EC"/>
    <w:rsid w:val="3F1D0405"/>
    <w:rsid w:val="3F26041D"/>
    <w:rsid w:val="3F31484D"/>
    <w:rsid w:val="3F4F0FDF"/>
    <w:rsid w:val="3F8375BC"/>
    <w:rsid w:val="3F8B0D9E"/>
    <w:rsid w:val="3F9B4224"/>
    <w:rsid w:val="401C35B7"/>
    <w:rsid w:val="40210BCD"/>
    <w:rsid w:val="402D2E43"/>
    <w:rsid w:val="407868E0"/>
    <w:rsid w:val="4081341A"/>
    <w:rsid w:val="41177786"/>
    <w:rsid w:val="41401527"/>
    <w:rsid w:val="419B675D"/>
    <w:rsid w:val="41A126BB"/>
    <w:rsid w:val="420E64EB"/>
    <w:rsid w:val="424C34FB"/>
    <w:rsid w:val="42870A90"/>
    <w:rsid w:val="42DA7A7E"/>
    <w:rsid w:val="42E15BB8"/>
    <w:rsid w:val="43326E87"/>
    <w:rsid w:val="433B1FA6"/>
    <w:rsid w:val="434D16FC"/>
    <w:rsid w:val="43BA70A1"/>
    <w:rsid w:val="440305EA"/>
    <w:rsid w:val="443C3977"/>
    <w:rsid w:val="444635F6"/>
    <w:rsid w:val="445A27A6"/>
    <w:rsid w:val="44775260"/>
    <w:rsid w:val="44ED5F6A"/>
    <w:rsid w:val="44FB6953"/>
    <w:rsid w:val="45071168"/>
    <w:rsid w:val="45344EFF"/>
    <w:rsid w:val="4557299B"/>
    <w:rsid w:val="45C142B9"/>
    <w:rsid w:val="460C5E7C"/>
    <w:rsid w:val="460E3694"/>
    <w:rsid w:val="463E47E4"/>
    <w:rsid w:val="4669609E"/>
    <w:rsid w:val="4672107B"/>
    <w:rsid w:val="46845A12"/>
    <w:rsid w:val="469F284C"/>
    <w:rsid w:val="46CF4D65"/>
    <w:rsid w:val="46EB455E"/>
    <w:rsid w:val="47775577"/>
    <w:rsid w:val="47971B69"/>
    <w:rsid w:val="47AB6FCE"/>
    <w:rsid w:val="47FA3DBC"/>
    <w:rsid w:val="482267A6"/>
    <w:rsid w:val="4824404F"/>
    <w:rsid w:val="48337ECB"/>
    <w:rsid w:val="483B205C"/>
    <w:rsid w:val="484F4106"/>
    <w:rsid w:val="485B472D"/>
    <w:rsid w:val="48711FC6"/>
    <w:rsid w:val="488937B4"/>
    <w:rsid w:val="489932EC"/>
    <w:rsid w:val="490E3929"/>
    <w:rsid w:val="491C4628"/>
    <w:rsid w:val="4942249C"/>
    <w:rsid w:val="494A1E5A"/>
    <w:rsid w:val="494C647A"/>
    <w:rsid w:val="497A30FC"/>
    <w:rsid w:val="497D2932"/>
    <w:rsid w:val="49AA1C33"/>
    <w:rsid w:val="49C75925"/>
    <w:rsid w:val="4A002A5D"/>
    <w:rsid w:val="4A176B9D"/>
    <w:rsid w:val="4A3012E7"/>
    <w:rsid w:val="4A5E657A"/>
    <w:rsid w:val="4A637170"/>
    <w:rsid w:val="4A7D4C52"/>
    <w:rsid w:val="4ACD62D7"/>
    <w:rsid w:val="4AF04AC5"/>
    <w:rsid w:val="4AFD3B05"/>
    <w:rsid w:val="4B2A0932"/>
    <w:rsid w:val="4B4522D7"/>
    <w:rsid w:val="4B53149A"/>
    <w:rsid w:val="4B736055"/>
    <w:rsid w:val="4CCC6852"/>
    <w:rsid w:val="4CF17B79"/>
    <w:rsid w:val="4D15023A"/>
    <w:rsid w:val="4D16313C"/>
    <w:rsid w:val="4D5A2A16"/>
    <w:rsid w:val="4D5B4FF3"/>
    <w:rsid w:val="4DC73D80"/>
    <w:rsid w:val="4E487C6D"/>
    <w:rsid w:val="4E6F702C"/>
    <w:rsid w:val="4E715323"/>
    <w:rsid w:val="4E8B0EDD"/>
    <w:rsid w:val="4ECD3CCE"/>
    <w:rsid w:val="4ED67027"/>
    <w:rsid w:val="4EE32551"/>
    <w:rsid w:val="4F0911AA"/>
    <w:rsid w:val="4F9A0054"/>
    <w:rsid w:val="4FE92C65"/>
    <w:rsid w:val="4FFE4A87"/>
    <w:rsid w:val="5015592D"/>
    <w:rsid w:val="50574197"/>
    <w:rsid w:val="506B2E48"/>
    <w:rsid w:val="508A631B"/>
    <w:rsid w:val="508F3931"/>
    <w:rsid w:val="50900154"/>
    <w:rsid w:val="510C0773"/>
    <w:rsid w:val="513B5867"/>
    <w:rsid w:val="513D15DF"/>
    <w:rsid w:val="51646B6C"/>
    <w:rsid w:val="51A96C75"/>
    <w:rsid w:val="51AE428B"/>
    <w:rsid w:val="51C21E1A"/>
    <w:rsid w:val="52037B84"/>
    <w:rsid w:val="52120376"/>
    <w:rsid w:val="52237C34"/>
    <w:rsid w:val="5240407A"/>
    <w:rsid w:val="529214B7"/>
    <w:rsid w:val="52A66D10"/>
    <w:rsid w:val="52BE6263"/>
    <w:rsid w:val="52C17ACC"/>
    <w:rsid w:val="52C83C29"/>
    <w:rsid w:val="52E14F5A"/>
    <w:rsid w:val="53004AA7"/>
    <w:rsid w:val="530323B4"/>
    <w:rsid w:val="53083527"/>
    <w:rsid w:val="531627EE"/>
    <w:rsid w:val="53191BD8"/>
    <w:rsid w:val="532F6D06"/>
    <w:rsid w:val="53DD2C05"/>
    <w:rsid w:val="540939FA"/>
    <w:rsid w:val="5410101E"/>
    <w:rsid w:val="541A6CDE"/>
    <w:rsid w:val="545A4256"/>
    <w:rsid w:val="545B2CD1"/>
    <w:rsid w:val="54857820"/>
    <w:rsid w:val="54867ED3"/>
    <w:rsid w:val="54906FE2"/>
    <w:rsid w:val="54D73AF9"/>
    <w:rsid w:val="553313ED"/>
    <w:rsid w:val="555667CB"/>
    <w:rsid w:val="555D2250"/>
    <w:rsid w:val="559B48A7"/>
    <w:rsid w:val="55AD6B1D"/>
    <w:rsid w:val="55D3606E"/>
    <w:rsid w:val="55D632A4"/>
    <w:rsid w:val="55DD0C9B"/>
    <w:rsid w:val="56002BDB"/>
    <w:rsid w:val="56300425"/>
    <w:rsid w:val="5638254E"/>
    <w:rsid w:val="56562541"/>
    <w:rsid w:val="5697353F"/>
    <w:rsid w:val="569D042A"/>
    <w:rsid w:val="56A63337"/>
    <w:rsid w:val="56CE6835"/>
    <w:rsid w:val="56D90373"/>
    <w:rsid w:val="572E746E"/>
    <w:rsid w:val="57A53A3A"/>
    <w:rsid w:val="57B8397F"/>
    <w:rsid w:val="57CA0634"/>
    <w:rsid w:val="580E68BF"/>
    <w:rsid w:val="582B4ED1"/>
    <w:rsid w:val="58306FBA"/>
    <w:rsid w:val="584E5F9E"/>
    <w:rsid w:val="58A41F44"/>
    <w:rsid w:val="58AB6A29"/>
    <w:rsid w:val="58D17C8E"/>
    <w:rsid w:val="590E560F"/>
    <w:rsid w:val="59202E14"/>
    <w:rsid w:val="5921524A"/>
    <w:rsid w:val="592F1D04"/>
    <w:rsid w:val="59484FC5"/>
    <w:rsid w:val="596A4A66"/>
    <w:rsid w:val="59A809A7"/>
    <w:rsid w:val="59B14918"/>
    <w:rsid w:val="5A382944"/>
    <w:rsid w:val="5A3866B5"/>
    <w:rsid w:val="5A732CA8"/>
    <w:rsid w:val="5AA91A93"/>
    <w:rsid w:val="5AB81CD6"/>
    <w:rsid w:val="5AB840FE"/>
    <w:rsid w:val="5AF70A51"/>
    <w:rsid w:val="5B192E76"/>
    <w:rsid w:val="5B1E7D8B"/>
    <w:rsid w:val="5B6C3B0B"/>
    <w:rsid w:val="5BEC7267"/>
    <w:rsid w:val="5BF40AEC"/>
    <w:rsid w:val="5C693288"/>
    <w:rsid w:val="5CB12E81"/>
    <w:rsid w:val="5CBF2CEB"/>
    <w:rsid w:val="5CD64696"/>
    <w:rsid w:val="5CDA4186"/>
    <w:rsid w:val="5CF046D5"/>
    <w:rsid w:val="5D172CE4"/>
    <w:rsid w:val="5D175235"/>
    <w:rsid w:val="5D5D20E6"/>
    <w:rsid w:val="5DA64068"/>
    <w:rsid w:val="5DB60F05"/>
    <w:rsid w:val="5DC73A37"/>
    <w:rsid w:val="5E1176DB"/>
    <w:rsid w:val="5E176D14"/>
    <w:rsid w:val="5E602469"/>
    <w:rsid w:val="5E84084D"/>
    <w:rsid w:val="5E940365"/>
    <w:rsid w:val="5E9B5B97"/>
    <w:rsid w:val="5EC61D8C"/>
    <w:rsid w:val="5ECA3D86"/>
    <w:rsid w:val="5F08322C"/>
    <w:rsid w:val="5F3E47D0"/>
    <w:rsid w:val="5F45695C"/>
    <w:rsid w:val="5F8B545E"/>
    <w:rsid w:val="602A675D"/>
    <w:rsid w:val="604D2EC1"/>
    <w:rsid w:val="604D4C6F"/>
    <w:rsid w:val="60561D75"/>
    <w:rsid w:val="606C379A"/>
    <w:rsid w:val="608A7C71"/>
    <w:rsid w:val="613F1B66"/>
    <w:rsid w:val="615943BE"/>
    <w:rsid w:val="61FB6ABF"/>
    <w:rsid w:val="62015D11"/>
    <w:rsid w:val="623A4F0A"/>
    <w:rsid w:val="625B5761"/>
    <w:rsid w:val="628C4B44"/>
    <w:rsid w:val="62CF4061"/>
    <w:rsid w:val="63297CD3"/>
    <w:rsid w:val="63691DC0"/>
    <w:rsid w:val="63A23F7D"/>
    <w:rsid w:val="63B9315F"/>
    <w:rsid w:val="63C43FDD"/>
    <w:rsid w:val="63C96D02"/>
    <w:rsid w:val="63D538F9"/>
    <w:rsid w:val="63D86F45"/>
    <w:rsid w:val="63EB5E26"/>
    <w:rsid w:val="64157B34"/>
    <w:rsid w:val="64236413"/>
    <w:rsid w:val="643373D6"/>
    <w:rsid w:val="64414AEB"/>
    <w:rsid w:val="645C4082"/>
    <w:rsid w:val="6513502C"/>
    <w:rsid w:val="651B117E"/>
    <w:rsid w:val="651C561A"/>
    <w:rsid w:val="65362175"/>
    <w:rsid w:val="65435A72"/>
    <w:rsid w:val="65526A4C"/>
    <w:rsid w:val="655820EC"/>
    <w:rsid w:val="65653839"/>
    <w:rsid w:val="65C21C5B"/>
    <w:rsid w:val="65EE45C9"/>
    <w:rsid w:val="663568D1"/>
    <w:rsid w:val="663A7A43"/>
    <w:rsid w:val="665A4439"/>
    <w:rsid w:val="66644AC0"/>
    <w:rsid w:val="667411A7"/>
    <w:rsid w:val="66C60D51"/>
    <w:rsid w:val="67B5116B"/>
    <w:rsid w:val="67D95ABD"/>
    <w:rsid w:val="6813679E"/>
    <w:rsid w:val="689C6793"/>
    <w:rsid w:val="68D54055"/>
    <w:rsid w:val="68DB550E"/>
    <w:rsid w:val="690A194F"/>
    <w:rsid w:val="695157D0"/>
    <w:rsid w:val="695422A4"/>
    <w:rsid w:val="69B1626F"/>
    <w:rsid w:val="69D776AE"/>
    <w:rsid w:val="69E2467A"/>
    <w:rsid w:val="69F30635"/>
    <w:rsid w:val="6A3A44B6"/>
    <w:rsid w:val="6A3A6264"/>
    <w:rsid w:val="6A3E39EB"/>
    <w:rsid w:val="6AB969DE"/>
    <w:rsid w:val="6AC65D4A"/>
    <w:rsid w:val="6AF21F05"/>
    <w:rsid w:val="6AF972B7"/>
    <w:rsid w:val="6B0C5E52"/>
    <w:rsid w:val="6B1E7934"/>
    <w:rsid w:val="6B3A168C"/>
    <w:rsid w:val="6B633598"/>
    <w:rsid w:val="6BDB5825"/>
    <w:rsid w:val="6BE46225"/>
    <w:rsid w:val="6C4C04D0"/>
    <w:rsid w:val="6C787517"/>
    <w:rsid w:val="6C7C5B51"/>
    <w:rsid w:val="6CBF6EF4"/>
    <w:rsid w:val="6CD01102"/>
    <w:rsid w:val="6CE81FA7"/>
    <w:rsid w:val="6D1E4AEF"/>
    <w:rsid w:val="6D4C79CB"/>
    <w:rsid w:val="6D5935CC"/>
    <w:rsid w:val="6D6A4ADA"/>
    <w:rsid w:val="6D812F54"/>
    <w:rsid w:val="6D8C5028"/>
    <w:rsid w:val="6D920165"/>
    <w:rsid w:val="6DC81DD9"/>
    <w:rsid w:val="6DD16EDF"/>
    <w:rsid w:val="6DD66F6F"/>
    <w:rsid w:val="6DF57072"/>
    <w:rsid w:val="6E185BEE"/>
    <w:rsid w:val="6E241705"/>
    <w:rsid w:val="6E5813AF"/>
    <w:rsid w:val="6E957F0D"/>
    <w:rsid w:val="6F6726C8"/>
    <w:rsid w:val="6F9E7295"/>
    <w:rsid w:val="6FAB550E"/>
    <w:rsid w:val="6FD855A5"/>
    <w:rsid w:val="705B3118"/>
    <w:rsid w:val="70A1703D"/>
    <w:rsid w:val="70DE34D2"/>
    <w:rsid w:val="71094BE2"/>
    <w:rsid w:val="711C4915"/>
    <w:rsid w:val="713D3594"/>
    <w:rsid w:val="713F0604"/>
    <w:rsid w:val="715007F7"/>
    <w:rsid w:val="71520337"/>
    <w:rsid w:val="719C5A56"/>
    <w:rsid w:val="724539F8"/>
    <w:rsid w:val="72587127"/>
    <w:rsid w:val="725F1B6B"/>
    <w:rsid w:val="72A9667D"/>
    <w:rsid w:val="72C967BB"/>
    <w:rsid w:val="72D95EB8"/>
    <w:rsid w:val="72FA2A34"/>
    <w:rsid w:val="73542629"/>
    <w:rsid w:val="737132E4"/>
    <w:rsid w:val="73903399"/>
    <w:rsid w:val="73996A55"/>
    <w:rsid w:val="73BE5001"/>
    <w:rsid w:val="73F50ED6"/>
    <w:rsid w:val="73FA3F4B"/>
    <w:rsid w:val="74051691"/>
    <w:rsid w:val="74084C23"/>
    <w:rsid w:val="7416564C"/>
    <w:rsid w:val="74185868"/>
    <w:rsid w:val="741C4C2C"/>
    <w:rsid w:val="742D52CA"/>
    <w:rsid w:val="742F38C4"/>
    <w:rsid w:val="7488135C"/>
    <w:rsid w:val="748E5B2A"/>
    <w:rsid w:val="75165F95"/>
    <w:rsid w:val="753C37D8"/>
    <w:rsid w:val="754E7222"/>
    <w:rsid w:val="758E117A"/>
    <w:rsid w:val="75C7515F"/>
    <w:rsid w:val="75D06AD1"/>
    <w:rsid w:val="75D13D6C"/>
    <w:rsid w:val="75D64995"/>
    <w:rsid w:val="7619126A"/>
    <w:rsid w:val="761A4999"/>
    <w:rsid w:val="7627498F"/>
    <w:rsid w:val="7682521B"/>
    <w:rsid w:val="76AE2FEB"/>
    <w:rsid w:val="76AE4262"/>
    <w:rsid w:val="76BB697E"/>
    <w:rsid w:val="77205118"/>
    <w:rsid w:val="77534C85"/>
    <w:rsid w:val="77CD6969"/>
    <w:rsid w:val="77D0323E"/>
    <w:rsid w:val="77D9530E"/>
    <w:rsid w:val="77EF1438"/>
    <w:rsid w:val="77FC19A3"/>
    <w:rsid w:val="785E4509"/>
    <w:rsid w:val="786372CE"/>
    <w:rsid w:val="78A551F0"/>
    <w:rsid w:val="78BE2756"/>
    <w:rsid w:val="78F16688"/>
    <w:rsid w:val="7930223E"/>
    <w:rsid w:val="79CE4C1B"/>
    <w:rsid w:val="79FE04A2"/>
    <w:rsid w:val="7A92722C"/>
    <w:rsid w:val="7AD7597C"/>
    <w:rsid w:val="7AE23EAC"/>
    <w:rsid w:val="7AEB4E09"/>
    <w:rsid w:val="7AF16E13"/>
    <w:rsid w:val="7B4B6523"/>
    <w:rsid w:val="7B657E62"/>
    <w:rsid w:val="7B884B1F"/>
    <w:rsid w:val="7C2E1226"/>
    <w:rsid w:val="7C3E1BE4"/>
    <w:rsid w:val="7C3F595C"/>
    <w:rsid w:val="7C8F68E3"/>
    <w:rsid w:val="7C9F38DE"/>
    <w:rsid w:val="7CAD4FBB"/>
    <w:rsid w:val="7CD269D5"/>
    <w:rsid w:val="7CE92A09"/>
    <w:rsid w:val="7D060228"/>
    <w:rsid w:val="7D1961AD"/>
    <w:rsid w:val="7D33726F"/>
    <w:rsid w:val="7D3923AB"/>
    <w:rsid w:val="7D495EA3"/>
    <w:rsid w:val="7D5611AF"/>
    <w:rsid w:val="7D9706EA"/>
    <w:rsid w:val="7DA57A41"/>
    <w:rsid w:val="7DFF35F5"/>
    <w:rsid w:val="7E620E42"/>
    <w:rsid w:val="7E836B1C"/>
    <w:rsid w:val="7E9348DB"/>
    <w:rsid w:val="7E955D07"/>
    <w:rsid w:val="7EC451D0"/>
    <w:rsid w:val="7ED625A7"/>
    <w:rsid w:val="7F315A30"/>
    <w:rsid w:val="7F6851CA"/>
    <w:rsid w:val="7F6D68A5"/>
    <w:rsid w:val="7F6F0565"/>
    <w:rsid w:val="7FEE1B73"/>
    <w:rsid w:val="7FF22933"/>
    <w:rsid w:val="F7BFC99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semiHidden="0" w:name="heading 2"/>
    <w:lsdException w:qFormat="1" w:uiPriority="0" w:semiHidden="0" w:name="heading 3"/>
    <w:lsdException w:qFormat="1" w:unhideWhenUsed="0" w:uiPriority="9"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uiPriority="0" w:name="Normal Indent"/>
    <w:lsdException w:uiPriority="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qFormat="1" w:unhideWhenUsed="0" w:uiPriority="0" w:semiHidden="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qFormat="1" w:uiPriority="99"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99" w:semiHidden="0" w:name="Hyperlink"/>
    <w:lsdException w:qFormat="1" w:unhideWhenUsed="0" w:uiPriority="0" w:semiHidden="0" w:name="FollowedHyperlink"/>
    <w:lsdException w:qFormat="1" w:unhideWhenUsed="0" w:uiPriority="0" w:semiHidden="0" w:name="Strong"/>
    <w:lsdException w:qFormat="1" w:unhideWhenUsed="0" w:uiPriority="20" w:semiHidden="0" w:name="Emphasis"/>
    <w:lsdException w:uiPriority="0" w:name="Document Map"/>
    <w:lsdException w:qFormat="1" w:unhideWhenUsed="0" w:uiPriority="0" w:semiHidden="0" w:name="Plain Text"/>
    <w:lsdException w:uiPriority="0" w:name="E-mail Signature"/>
    <w:lsdException w:qFormat="1" w:unhideWhenUsed="0" w:uiPriority="0" w:semiHidden="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4">
    <w:name w:val="heading 1"/>
    <w:basedOn w:val="1"/>
    <w:next w:val="1"/>
    <w:link w:val="62"/>
    <w:qFormat/>
    <w:uiPriority w:val="9"/>
    <w:pPr>
      <w:keepNext/>
      <w:keepLines/>
      <w:spacing w:before="340" w:after="330" w:line="576" w:lineRule="auto"/>
      <w:outlineLvl w:val="0"/>
    </w:pPr>
    <w:rPr>
      <w:b/>
      <w:kern w:val="44"/>
      <w:sz w:val="44"/>
    </w:rPr>
  </w:style>
  <w:style w:type="paragraph" w:styleId="5">
    <w:name w:val="heading 2"/>
    <w:basedOn w:val="1"/>
    <w:next w:val="1"/>
    <w:unhideWhenUsed/>
    <w:qFormat/>
    <w:uiPriority w:val="0"/>
    <w:pPr>
      <w:keepNext/>
      <w:keepLines/>
      <w:spacing w:before="260" w:after="260" w:line="413" w:lineRule="auto"/>
      <w:outlineLvl w:val="1"/>
    </w:pPr>
    <w:rPr>
      <w:rFonts w:ascii="Arial" w:hAnsi="Arial" w:eastAsia="黑体"/>
      <w:b/>
      <w:sz w:val="32"/>
    </w:rPr>
  </w:style>
  <w:style w:type="paragraph" w:styleId="6">
    <w:name w:val="heading 3"/>
    <w:basedOn w:val="1"/>
    <w:next w:val="1"/>
    <w:link w:val="48"/>
    <w:unhideWhenUsed/>
    <w:qFormat/>
    <w:uiPriority w:val="0"/>
    <w:pPr>
      <w:keepNext/>
      <w:keepLines/>
      <w:spacing w:before="260" w:after="260" w:line="413" w:lineRule="auto"/>
      <w:outlineLvl w:val="2"/>
    </w:pPr>
    <w:rPr>
      <w:b/>
      <w:sz w:val="32"/>
    </w:rPr>
  </w:style>
  <w:style w:type="paragraph" w:styleId="7">
    <w:name w:val="heading 4"/>
    <w:basedOn w:val="1"/>
    <w:next w:val="1"/>
    <w:qFormat/>
    <w:uiPriority w:val="9"/>
    <w:pPr>
      <w:spacing w:line="360" w:lineRule="auto"/>
      <w:outlineLvl w:val="3"/>
    </w:pPr>
    <w:rPr>
      <w:rFonts w:ascii="宋体"/>
      <w:bCs/>
      <w:kern w:val="0"/>
      <w:sz w:val="20"/>
      <w:szCs w:val="21"/>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2">
    <w:name w:val="Body Text"/>
    <w:basedOn w:val="3"/>
    <w:next w:val="3"/>
    <w:link w:val="64"/>
    <w:qFormat/>
    <w:uiPriority w:val="0"/>
    <w:pPr>
      <w:tabs>
        <w:tab w:val="left" w:pos="0"/>
      </w:tabs>
      <w:spacing w:after="120"/>
    </w:pPr>
  </w:style>
  <w:style w:type="paragraph" w:styleId="3">
    <w:name w:val="Title"/>
    <w:basedOn w:val="1"/>
    <w:next w:val="1"/>
    <w:link w:val="63"/>
    <w:qFormat/>
    <w:uiPriority w:val="0"/>
    <w:pPr>
      <w:widowControl/>
      <w:tabs>
        <w:tab w:val="left" w:pos="0"/>
      </w:tabs>
      <w:spacing w:before="240" w:after="60" w:line="360" w:lineRule="auto"/>
      <w:ind w:firstLine="1920" w:firstLineChars="200"/>
      <w:jc w:val="center"/>
    </w:pPr>
    <w:rPr>
      <w:rFonts w:ascii="Cambria" w:hAnsi="Cambria" w:eastAsia="黑体"/>
      <w:bCs/>
      <w:kern w:val="28"/>
      <w:sz w:val="32"/>
      <w:szCs w:val="32"/>
    </w:rPr>
  </w:style>
  <w:style w:type="paragraph" w:styleId="8">
    <w:name w:val="toc 7"/>
    <w:basedOn w:val="1"/>
    <w:next w:val="1"/>
    <w:unhideWhenUsed/>
    <w:qFormat/>
    <w:uiPriority w:val="39"/>
    <w:pPr>
      <w:ind w:left="2520" w:leftChars="1200"/>
    </w:pPr>
    <w:rPr>
      <w:szCs w:val="22"/>
    </w:rPr>
  </w:style>
  <w:style w:type="paragraph" w:styleId="9">
    <w:name w:val="annotation text"/>
    <w:basedOn w:val="1"/>
    <w:link w:val="53"/>
    <w:qFormat/>
    <w:uiPriority w:val="0"/>
    <w:pPr>
      <w:jc w:val="left"/>
    </w:pPr>
  </w:style>
  <w:style w:type="paragraph" w:styleId="10">
    <w:name w:val="toc 5"/>
    <w:basedOn w:val="1"/>
    <w:next w:val="1"/>
    <w:unhideWhenUsed/>
    <w:qFormat/>
    <w:uiPriority w:val="39"/>
    <w:pPr>
      <w:ind w:left="1680" w:leftChars="800"/>
    </w:pPr>
    <w:rPr>
      <w:szCs w:val="22"/>
    </w:rPr>
  </w:style>
  <w:style w:type="paragraph" w:styleId="11">
    <w:name w:val="toc 3"/>
    <w:basedOn w:val="1"/>
    <w:next w:val="1"/>
    <w:qFormat/>
    <w:uiPriority w:val="39"/>
    <w:pPr>
      <w:tabs>
        <w:tab w:val="right" w:leader="dot" w:pos="8296"/>
      </w:tabs>
      <w:pPrChange w:id="0" w:author="周 现场 [2]" w:date="2022-11-16T11:56:00Z">
        <w:pPr>
          <w:widowControl w:val="0"/>
          <w:ind w:left="840" w:leftChars="400"/>
          <w:jc w:val="both"/>
        </w:pPr>
      </w:pPrChange>
    </w:pPr>
    <w:rPr>
      <w:rPrChange w:id="1" w:author="周 现场 [2]" w:date="2022-11-16T11:56:00Z">
        <w:rPr>
          <w:rFonts w:asciiTheme="minorHAnsi" w:hAnsiTheme="minorHAnsi" w:eastAsiaTheme="minorEastAsia" w:cstheme="minorBidi"/>
          <w:kern w:val="2"/>
          <w:sz w:val="21"/>
          <w:szCs w:val="24"/>
          <w:lang w:val="en-US" w:eastAsia="zh-CN" w:bidi="ar-SA"/>
        </w:rPr>
      </w:rPrChange>
    </w:rPr>
  </w:style>
  <w:style w:type="paragraph" w:styleId="12">
    <w:name w:val="Plain Text"/>
    <w:basedOn w:val="1"/>
    <w:link w:val="47"/>
    <w:qFormat/>
    <w:uiPriority w:val="0"/>
    <w:rPr>
      <w:rFonts w:ascii="宋体" w:hAnsi="Courier New"/>
      <w:kern w:val="0"/>
      <w:sz w:val="20"/>
    </w:rPr>
  </w:style>
  <w:style w:type="paragraph" w:styleId="13">
    <w:name w:val="toc 8"/>
    <w:basedOn w:val="1"/>
    <w:next w:val="1"/>
    <w:unhideWhenUsed/>
    <w:qFormat/>
    <w:uiPriority w:val="39"/>
    <w:pPr>
      <w:ind w:left="2940" w:leftChars="1400"/>
    </w:pPr>
    <w:rPr>
      <w:szCs w:val="22"/>
    </w:rPr>
  </w:style>
  <w:style w:type="paragraph" w:styleId="14">
    <w:name w:val="Balloon Text"/>
    <w:basedOn w:val="1"/>
    <w:link w:val="46"/>
    <w:qFormat/>
    <w:uiPriority w:val="0"/>
    <w:rPr>
      <w:sz w:val="18"/>
      <w:szCs w:val="18"/>
    </w:rPr>
  </w:style>
  <w:style w:type="paragraph" w:styleId="15">
    <w:name w:val="footer"/>
    <w:basedOn w:val="1"/>
    <w:link w:val="60"/>
    <w:qFormat/>
    <w:uiPriority w:val="99"/>
    <w:pPr>
      <w:tabs>
        <w:tab w:val="center" w:pos="4153"/>
        <w:tab w:val="right" w:pos="8306"/>
      </w:tabs>
      <w:snapToGrid w:val="0"/>
      <w:jc w:val="left"/>
    </w:pPr>
    <w:rPr>
      <w:sz w:val="18"/>
      <w:szCs w:val="18"/>
    </w:rPr>
  </w:style>
  <w:style w:type="paragraph" w:styleId="16">
    <w:name w:val="header"/>
    <w:basedOn w:val="1"/>
    <w:link w:val="59"/>
    <w:qFormat/>
    <w:uiPriority w:val="0"/>
    <w:pPr>
      <w:pBdr>
        <w:bottom w:val="single" w:color="auto" w:sz="6" w:space="1"/>
      </w:pBdr>
      <w:tabs>
        <w:tab w:val="center" w:pos="4153"/>
        <w:tab w:val="right" w:pos="8306"/>
      </w:tabs>
      <w:snapToGrid w:val="0"/>
      <w:jc w:val="center"/>
    </w:pPr>
    <w:rPr>
      <w:sz w:val="18"/>
      <w:szCs w:val="18"/>
    </w:rPr>
  </w:style>
  <w:style w:type="paragraph" w:styleId="17">
    <w:name w:val="toc 1"/>
    <w:basedOn w:val="1"/>
    <w:next w:val="1"/>
    <w:qFormat/>
    <w:uiPriority w:val="39"/>
    <w:pPr>
      <w:tabs>
        <w:tab w:val="right" w:leader="dot" w:pos="8296"/>
      </w:tabs>
      <w:pPrChange w:id="2" w:author="周 现场 [2]" w:date="2022-11-16T12:00:00Z">
        <w:pPr>
          <w:widowControl w:val="0"/>
          <w:jc w:val="both"/>
        </w:pPr>
      </w:pPrChange>
    </w:pPr>
    <w:rPr>
      <w:rPrChange w:id="3" w:author="周 现场 [2]" w:date="2022-11-16T12:00:00Z">
        <w:rPr>
          <w:rFonts w:asciiTheme="minorHAnsi" w:hAnsiTheme="minorHAnsi" w:eastAsiaTheme="minorEastAsia" w:cstheme="minorBidi"/>
          <w:kern w:val="2"/>
          <w:sz w:val="21"/>
          <w:szCs w:val="24"/>
          <w:lang w:val="en-US" w:eastAsia="zh-CN" w:bidi="ar-SA"/>
        </w:rPr>
      </w:rPrChange>
    </w:rPr>
  </w:style>
  <w:style w:type="paragraph" w:styleId="18">
    <w:name w:val="toc 4"/>
    <w:basedOn w:val="1"/>
    <w:next w:val="1"/>
    <w:unhideWhenUsed/>
    <w:qFormat/>
    <w:uiPriority w:val="39"/>
    <w:pPr>
      <w:ind w:left="1260" w:leftChars="600"/>
    </w:pPr>
    <w:rPr>
      <w:szCs w:val="22"/>
    </w:rPr>
  </w:style>
  <w:style w:type="paragraph" w:styleId="19">
    <w:name w:val="toc 6"/>
    <w:basedOn w:val="1"/>
    <w:next w:val="1"/>
    <w:unhideWhenUsed/>
    <w:qFormat/>
    <w:uiPriority w:val="39"/>
    <w:pPr>
      <w:ind w:left="2100" w:leftChars="1000"/>
    </w:pPr>
    <w:rPr>
      <w:szCs w:val="22"/>
    </w:rPr>
  </w:style>
  <w:style w:type="paragraph" w:styleId="20">
    <w:name w:val="toc 2"/>
    <w:basedOn w:val="1"/>
    <w:next w:val="1"/>
    <w:qFormat/>
    <w:uiPriority w:val="39"/>
    <w:pPr>
      <w:tabs>
        <w:tab w:val="right" w:leader="dot" w:pos="8296"/>
      </w:tabs>
      <w:pPrChange w:id="4" w:author="周 现场 [2]" w:date="2022-11-16T11:56:00Z">
        <w:pPr>
          <w:widowControl w:val="0"/>
          <w:ind w:left="420" w:leftChars="200"/>
          <w:jc w:val="both"/>
        </w:pPr>
      </w:pPrChange>
    </w:pPr>
    <w:rPr>
      <w:rPrChange w:id="5" w:author="周 现场 [2]" w:date="2022-11-16T11:56:00Z">
        <w:rPr>
          <w:rFonts w:asciiTheme="minorHAnsi" w:hAnsiTheme="minorHAnsi" w:eastAsiaTheme="minorEastAsia" w:cstheme="minorBidi"/>
          <w:kern w:val="2"/>
          <w:sz w:val="21"/>
          <w:szCs w:val="24"/>
          <w:lang w:val="en-US" w:eastAsia="zh-CN" w:bidi="ar-SA"/>
        </w:rPr>
      </w:rPrChange>
    </w:rPr>
  </w:style>
  <w:style w:type="paragraph" w:styleId="21">
    <w:name w:val="toc 9"/>
    <w:basedOn w:val="1"/>
    <w:next w:val="1"/>
    <w:unhideWhenUsed/>
    <w:qFormat/>
    <w:uiPriority w:val="39"/>
    <w:pPr>
      <w:ind w:left="3360" w:leftChars="1600"/>
    </w:pPr>
    <w:rPr>
      <w:szCs w:val="22"/>
    </w:rPr>
  </w:style>
  <w:style w:type="paragraph" w:styleId="22">
    <w:name w:val="Normal (Web)"/>
    <w:basedOn w:val="1"/>
    <w:qFormat/>
    <w:uiPriority w:val="0"/>
    <w:pPr>
      <w:widowControl/>
      <w:spacing w:beforeAutospacing="1" w:afterAutospacing="1"/>
      <w:jc w:val="left"/>
    </w:pPr>
    <w:rPr>
      <w:rFonts w:ascii="宋体" w:hAnsi="宋体" w:eastAsia="宋体" w:cs="Times New Roman"/>
      <w:kern w:val="0"/>
      <w:sz w:val="24"/>
    </w:rPr>
  </w:style>
  <w:style w:type="paragraph" w:styleId="23">
    <w:name w:val="annotation subject"/>
    <w:basedOn w:val="9"/>
    <w:next w:val="9"/>
    <w:link w:val="54"/>
    <w:qFormat/>
    <w:uiPriority w:val="0"/>
    <w:rPr>
      <w:b/>
      <w:bCs/>
    </w:rPr>
  </w:style>
  <w:style w:type="paragraph" w:styleId="24">
    <w:name w:val="Body Text First Indent"/>
    <w:basedOn w:val="2"/>
    <w:unhideWhenUsed/>
    <w:qFormat/>
    <w:uiPriority w:val="99"/>
    <w:pPr>
      <w:widowControl w:val="0"/>
      <w:tabs>
        <w:tab w:val="clear" w:pos="0"/>
      </w:tabs>
      <w:spacing w:before="0" w:line="240" w:lineRule="auto"/>
      <w:ind w:firstLine="420" w:firstLineChars="100"/>
      <w:jc w:val="both"/>
    </w:pPr>
    <w:rPr>
      <w:rFonts w:asciiTheme="minorHAnsi" w:hAnsiTheme="minorHAnsi" w:eastAsiaTheme="minorEastAsia"/>
      <w:bCs w:val="0"/>
      <w:kern w:val="2"/>
      <w:sz w:val="21"/>
      <w:szCs w:val="24"/>
    </w:rPr>
  </w:style>
  <w:style w:type="table" w:styleId="26">
    <w:name w:val="Table Grid"/>
    <w:basedOn w:val="25"/>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cPr>
      <w:tcBorders>
        <w:top w:val="single" w:color="auto" w:sz="4" w:space="0"/>
        <w:left w:val="single" w:color="auto" w:sz="4" w:space="0"/>
        <w:bottom w:val="single" w:color="auto" w:sz="4" w:space="0"/>
        <w:right w:val="single" w:color="auto" w:sz="4" w:space="0"/>
      </w:tcBorders>
    </w:tcPr>
  </w:style>
  <w:style w:type="character" w:styleId="28">
    <w:name w:val="Strong"/>
    <w:basedOn w:val="27"/>
    <w:qFormat/>
    <w:uiPriority w:val="0"/>
    <w:rPr>
      <w:b/>
    </w:rPr>
  </w:style>
  <w:style w:type="character" w:styleId="29">
    <w:name w:val="FollowedHyperlink"/>
    <w:basedOn w:val="27"/>
    <w:qFormat/>
    <w:uiPriority w:val="0"/>
    <w:rPr>
      <w:color w:val="014CCC"/>
      <w:u w:val="none"/>
    </w:rPr>
  </w:style>
  <w:style w:type="character" w:styleId="30">
    <w:name w:val="Emphasis"/>
    <w:basedOn w:val="27"/>
    <w:qFormat/>
    <w:uiPriority w:val="20"/>
    <w:rPr>
      <w:i/>
      <w:iCs/>
    </w:rPr>
  </w:style>
  <w:style w:type="character" w:styleId="31">
    <w:name w:val="Hyperlink"/>
    <w:basedOn w:val="27"/>
    <w:qFormat/>
    <w:uiPriority w:val="99"/>
    <w:rPr>
      <w:color w:val="0000FF"/>
      <w:u w:val="single"/>
    </w:rPr>
  </w:style>
  <w:style w:type="character" w:styleId="32">
    <w:name w:val="annotation reference"/>
    <w:basedOn w:val="27"/>
    <w:qFormat/>
    <w:uiPriority w:val="0"/>
    <w:rPr>
      <w:sz w:val="21"/>
      <w:szCs w:val="21"/>
    </w:rPr>
  </w:style>
  <w:style w:type="paragraph" w:customStyle="1" w:styleId="33">
    <w:name w:val="其他标准称谓"/>
    <w:next w:val="1"/>
    <w:qFormat/>
    <w:uiPriority w:val="0"/>
    <w:pPr>
      <w:framePr w:hSpace="181" w:vSpace="181" w:wrap="around" w:vAnchor="page" w:hAnchor="page" w:x="1419" w:y="2286" w:anchorLock="1"/>
      <w:spacing w:line="240" w:lineRule="atLeast"/>
      <w:jc w:val="distribute"/>
    </w:pPr>
    <w:rPr>
      <w:rFonts w:ascii="黑体" w:hAnsi="宋体" w:eastAsia="黑体" w:cs="黑体"/>
      <w:spacing w:val="-40"/>
      <w:sz w:val="48"/>
      <w:szCs w:val="48"/>
      <w:lang w:val="en-US" w:eastAsia="zh-CN" w:bidi="ar-SA"/>
    </w:rPr>
  </w:style>
  <w:style w:type="paragraph" w:customStyle="1" w:styleId="34">
    <w:name w:val="其他标准标志"/>
    <w:basedOn w:val="35"/>
    <w:qFormat/>
    <w:uiPriority w:val="0"/>
    <w:pPr>
      <w:framePr w:w="6101" w:vAnchor="page" w:hAnchor="page" w:x="4673" w:y="942"/>
    </w:pPr>
    <w:rPr>
      <w:w w:val="130"/>
    </w:rPr>
  </w:style>
  <w:style w:type="paragraph" w:customStyle="1" w:styleId="35">
    <w:name w:val="标准标志"/>
    <w:next w:val="1"/>
    <w:qFormat/>
    <w:uiPriority w:val="0"/>
    <w:pPr>
      <w:framePr w:w="2546" w:h="1389" w:hRule="exact" w:hSpace="181" w:vSpace="181" w:wrap="around" w:vAnchor="margin" w:hAnchor="margin" w:x="6522" w:y="398" w:anchorLock="1"/>
      <w:shd w:val="solid" w:color="FFFFFF" w:fill="FFFFFF"/>
      <w:spacing w:line="240" w:lineRule="atLeast"/>
      <w:jc w:val="right"/>
    </w:pPr>
    <w:rPr>
      <w:rFonts w:ascii="Times New Roman" w:hAnsi="Times New Roman" w:eastAsia="宋体" w:cs="Times New Roman"/>
      <w:b/>
      <w:bCs/>
      <w:w w:val="170"/>
      <w:sz w:val="96"/>
      <w:szCs w:val="96"/>
      <w:lang w:val="en-US" w:eastAsia="zh-CN" w:bidi="ar-SA"/>
    </w:rPr>
  </w:style>
  <w:style w:type="paragraph" w:customStyle="1" w:styleId="36">
    <w:name w:val="其他发布部门"/>
    <w:basedOn w:val="37"/>
    <w:qFormat/>
    <w:uiPriority w:val="0"/>
    <w:pPr>
      <w:framePr w:y="15310"/>
      <w:spacing w:line="240" w:lineRule="atLeast"/>
    </w:pPr>
    <w:rPr>
      <w:rFonts w:ascii="黑体" w:eastAsia="黑体" w:cs="黑体"/>
      <w:b w:val="0"/>
      <w:bCs w:val="0"/>
    </w:rPr>
  </w:style>
  <w:style w:type="paragraph" w:customStyle="1" w:styleId="37">
    <w:name w:val="发布部门"/>
    <w:next w:val="38"/>
    <w:qFormat/>
    <w:uiPriority w:val="0"/>
    <w:pPr>
      <w:framePr w:w="7938" w:h="1134" w:hRule="exact" w:hSpace="125" w:vSpace="181" w:wrap="around" w:vAnchor="page" w:hAnchor="page" w:x="2150" w:y="14630" w:anchorLock="1"/>
      <w:jc w:val="center"/>
    </w:pPr>
    <w:rPr>
      <w:rFonts w:ascii="宋体" w:hAnsi="Times New Roman" w:eastAsia="宋体" w:cs="宋体"/>
      <w:b/>
      <w:bCs/>
      <w:spacing w:val="20"/>
      <w:w w:val="135"/>
      <w:sz w:val="28"/>
      <w:szCs w:val="28"/>
      <w:lang w:val="en-US" w:eastAsia="zh-CN" w:bidi="ar-SA"/>
    </w:rPr>
  </w:style>
  <w:style w:type="paragraph" w:customStyle="1" w:styleId="38">
    <w:name w:val="段"/>
    <w:link w:val="65"/>
    <w:qFormat/>
    <w:uiPriority w:val="0"/>
    <w:pPr>
      <w:tabs>
        <w:tab w:val="center" w:pos="4201"/>
        <w:tab w:val="right" w:leader="dot" w:pos="9298"/>
      </w:tabs>
      <w:autoSpaceDE w:val="0"/>
      <w:autoSpaceDN w:val="0"/>
      <w:ind w:firstLine="420" w:firstLineChars="200"/>
      <w:jc w:val="both"/>
    </w:pPr>
    <w:rPr>
      <w:rFonts w:ascii="宋体" w:hAnsi="Times New Roman" w:eastAsia="宋体" w:cs="Times New Roman"/>
      <w:sz w:val="22"/>
      <w:lang w:val="en-US" w:eastAsia="zh-CN" w:bidi="ar-SA"/>
    </w:rPr>
  </w:style>
  <w:style w:type="character" w:customStyle="1" w:styleId="39">
    <w:name w:val="fontstyle01"/>
    <w:basedOn w:val="27"/>
    <w:qFormat/>
    <w:uiPriority w:val="0"/>
    <w:rPr>
      <w:rFonts w:ascii="宋体" w:hAnsi="宋体" w:eastAsia="宋体" w:cs="宋体"/>
      <w:color w:val="000000"/>
      <w:sz w:val="22"/>
      <w:szCs w:val="22"/>
    </w:rPr>
  </w:style>
  <w:style w:type="paragraph" w:customStyle="1" w:styleId="40">
    <w:name w:val="WPSOffice手动目录 1"/>
    <w:qFormat/>
    <w:uiPriority w:val="0"/>
    <w:rPr>
      <w:rFonts w:ascii="Times New Roman" w:hAnsi="Times New Roman" w:eastAsia="宋体" w:cs="Times New Roman"/>
      <w:lang w:val="en-US" w:eastAsia="zh-CN" w:bidi="ar-SA"/>
    </w:rPr>
  </w:style>
  <w:style w:type="paragraph" w:customStyle="1" w:styleId="4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42">
    <w:name w:val="首行缩进"/>
    <w:basedOn w:val="1"/>
    <w:qFormat/>
    <w:uiPriority w:val="0"/>
    <w:pPr>
      <w:spacing w:line="300" w:lineRule="auto"/>
      <w:ind w:firstLine="420" w:firstLineChars="200"/>
    </w:pPr>
    <w:rPr>
      <w:rFonts w:ascii="Calibri" w:hAnsi="Calibri" w:eastAsia="方正书宋简体"/>
      <w:kern w:val="0"/>
      <w:sz w:val="20"/>
      <w:szCs w:val="20"/>
    </w:rPr>
  </w:style>
  <w:style w:type="paragraph" w:customStyle="1" w:styleId="43">
    <w:name w:val="样式2"/>
    <w:basedOn w:val="1"/>
    <w:link w:val="67"/>
    <w:qFormat/>
    <w:uiPriority w:val="0"/>
    <w:pPr>
      <w:topLinePunct/>
      <w:adjustRightInd w:val="0"/>
      <w:spacing w:line="312" w:lineRule="exact"/>
    </w:pPr>
    <w:rPr>
      <w:rFonts w:ascii="EU-F1" w:hAnsi="Times New Roman" w:eastAsia="黑体" w:cs="Times New Roman"/>
    </w:rPr>
  </w:style>
  <w:style w:type="paragraph" w:styleId="44">
    <w:name w:val="List Paragraph"/>
    <w:basedOn w:val="1"/>
    <w:unhideWhenUsed/>
    <w:qFormat/>
    <w:uiPriority w:val="0"/>
    <w:pPr>
      <w:ind w:firstLine="420" w:firstLineChars="200"/>
    </w:pPr>
  </w:style>
  <w:style w:type="paragraph" w:customStyle="1" w:styleId="45">
    <w:name w:val="三级无标题条"/>
    <w:basedOn w:val="1"/>
    <w:qFormat/>
    <w:uiPriority w:val="0"/>
  </w:style>
  <w:style w:type="character" w:customStyle="1" w:styleId="46">
    <w:name w:val="批注框文本 字符"/>
    <w:basedOn w:val="27"/>
    <w:link w:val="14"/>
    <w:qFormat/>
    <w:uiPriority w:val="0"/>
    <w:rPr>
      <w:rFonts w:asciiTheme="minorHAnsi" w:hAnsiTheme="minorHAnsi" w:eastAsiaTheme="minorEastAsia" w:cstheme="minorBidi"/>
      <w:kern w:val="2"/>
      <w:sz w:val="18"/>
      <w:szCs w:val="18"/>
    </w:rPr>
  </w:style>
  <w:style w:type="character" w:customStyle="1" w:styleId="47">
    <w:name w:val="纯文本 字符"/>
    <w:basedOn w:val="27"/>
    <w:link w:val="12"/>
    <w:qFormat/>
    <w:uiPriority w:val="0"/>
    <w:rPr>
      <w:rFonts w:ascii="宋体" w:hAnsi="Courier New" w:eastAsiaTheme="minorEastAsia" w:cstheme="minorBidi"/>
      <w:szCs w:val="24"/>
    </w:rPr>
  </w:style>
  <w:style w:type="character" w:customStyle="1" w:styleId="48">
    <w:name w:val="标题 3 字符"/>
    <w:basedOn w:val="27"/>
    <w:link w:val="6"/>
    <w:qFormat/>
    <w:uiPriority w:val="0"/>
    <w:rPr>
      <w:rFonts w:asciiTheme="minorHAnsi" w:hAnsiTheme="minorHAnsi" w:eastAsiaTheme="minorEastAsia" w:cstheme="minorBidi"/>
      <w:b/>
      <w:kern w:val="2"/>
      <w:sz w:val="32"/>
      <w:szCs w:val="24"/>
    </w:rPr>
  </w:style>
  <w:style w:type="paragraph" w:customStyle="1" w:styleId="49">
    <w:name w:val="正文表标题"/>
    <w:next w:val="1"/>
    <w:qFormat/>
    <w:uiPriority w:val="0"/>
    <w:pPr>
      <w:tabs>
        <w:tab w:val="left" w:pos="360"/>
        <w:tab w:val="left" w:pos="678"/>
      </w:tabs>
      <w:ind w:left="678" w:hanging="468"/>
      <w:jc w:val="center"/>
    </w:pPr>
    <w:rPr>
      <w:rFonts w:ascii="黑体" w:hAnsi="Times New Roman" w:eastAsia="黑体" w:cs="Times New Roman"/>
      <w:sz w:val="21"/>
      <w:lang w:val="en-US" w:eastAsia="zh-CN" w:bidi="ar-SA"/>
    </w:rPr>
  </w:style>
  <w:style w:type="paragraph" w:customStyle="1" w:styleId="50">
    <w:name w:val="注×："/>
    <w:qFormat/>
    <w:uiPriority w:val="0"/>
    <w:pPr>
      <w:widowControl w:val="0"/>
      <w:tabs>
        <w:tab w:val="left" w:pos="360"/>
        <w:tab w:val="left" w:pos="630"/>
      </w:tabs>
      <w:autoSpaceDE w:val="0"/>
      <w:autoSpaceDN w:val="0"/>
      <w:jc w:val="both"/>
    </w:pPr>
    <w:rPr>
      <w:rFonts w:ascii="宋体" w:hAnsi="Times New Roman" w:eastAsia="宋体" w:cs="Times New Roman"/>
      <w:sz w:val="18"/>
      <w:lang w:val="en-US" w:eastAsia="zh-CN" w:bidi="ar-SA"/>
    </w:rPr>
  </w:style>
  <w:style w:type="paragraph" w:customStyle="1" w:styleId="51">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52">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53">
    <w:name w:val="批注文字 字符"/>
    <w:basedOn w:val="27"/>
    <w:link w:val="9"/>
    <w:qFormat/>
    <w:uiPriority w:val="0"/>
    <w:rPr>
      <w:rFonts w:asciiTheme="minorHAnsi" w:hAnsiTheme="minorHAnsi" w:eastAsiaTheme="minorEastAsia" w:cstheme="minorBidi"/>
      <w:kern w:val="2"/>
      <w:sz w:val="21"/>
      <w:szCs w:val="24"/>
    </w:rPr>
  </w:style>
  <w:style w:type="character" w:customStyle="1" w:styleId="54">
    <w:name w:val="批注主题 字符"/>
    <w:basedOn w:val="53"/>
    <w:link w:val="23"/>
    <w:qFormat/>
    <w:uiPriority w:val="0"/>
    <w:rPr>
      <w:rFonts w:asciiTheme="minorHAnsi" w:hAnsiTheme="minorHAnsi" w:eastAsiaTheme="minorEastAsia" w:cstheme="minorBidi"/>
      <w:b/>
      <w:bCs/>
      <w:kern w:val="2"/>
      <w:sz w:val="21"/>
      <w:szCs w:val="24"/>
    </w:rPr>
  </w:style>
  <w:style w:type="paragraph" w:customStyle="1" w:styleId="55">
    <w:name w:val="修订2"/>
    <w:hidden/>
    <w:semiHidden/>
    <w:qFormat/>
    <w:uiPriority w:val="99"/>
    <w:rPr>
      <w:rFonts w:asciiTheme="minorHAnsi" w:hAnsiTheme="minorHAnsi" w:eastAsiaTheme="minorEastAsia" w:cstheme="minorBidi"/>
      <w:kern w:val="2"/>
      <w:sz w:val="21"/>
      <w:szCs w:val="24"/>
      <w:lang w:val="en-US" w:eastAsia="zh-CN" w:bidi="ar-SA"/>
    </w:rPr>
  </w:style>
  <w:style w:type="paragraph" w:customStyle="1" w:styleId="56">
    <w:name w:val="修订3"/>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57">
    <w:name w:val="未处理的提及1"/>
    <w:basedOn w:val="27"/>
    <w:semiHidden/>
    <w:unhideWhenUsed/>
    <w:qFormat/>
    <w:uiPriority w:val="99"/>
    <w:rPr>
      <w:color w:val="605E5C"/>
      <w:shd w:val="clear" w:color="auto" w:fill="E1DFDD"/>
    </w:rPr>
  </w:style>
  <w:style w:type="paragraph" w:customStyle="1" w:styleId="58">
    <w:name w:val="TOC 标题1"/>
    <w:basedOn w:val="4"/>
    <w:next w:val="1"/>
    <w:unhideWhenUsed/>
    <w:qFormat/>
    <w:uiPriority w:val="39"/>
    <w:pPr>
      <w:widowControl/>
      <w:spacing w:before="240" w:after="0" w:line="259" w:lineRule="auto"/>
      <w:jc w:val="left"/>
      <w:outlineLvl w:val="9"/>
    </w:pPr>
    <w:rPr>
      <w:rFonts w:asciiTheme="majorHAnsi" w:hAnsiTheme="majorHAnsi" w:eastAsiaTheme="majorEastAsia" w:cstheme="majorBidi"/>
      <w:b w:val="0"/>
      <w:color w:val="2E75B6" w:themeColor="accent1" w:themeShade="BF"/>
      <w:kern w:val="0"/>
      <w:sz w:val="32"/>
      <w:szCs w:val="32"/>
    </w:rPr>
  </w:style>
  <w:style w:type="character" w:customStyle="1" w:styleId="59">
    <w:name w:val="页眉 字符"/>
    <w:basedOn w:val="27"/>
    <w:link w:val="16"/>
    <w:qFormat/>
    <w:uiPriority w:val="0"/>
    <w:rPr>
      <w:rFonts w:asciiTheme="minorHAnsi" w:hAnsiTheme="minorHAnsi" w:eastAsiaTheme="minorEastAsia" w:cstheme="minorBidi"/>
      <w:kern w:val="2"/>
      <w:sz w:val="18"/>
      <w:szCs w:val="18"/>
    </w:rPr>
  </w:style>
  <w:style w:type="character" w:customStyle="1" w:styleId="60">
    <w:name w:val="页脚 字符"/>
    <w:basedOn w:val="27"/>
    <w:link w:val="15"/>
    <w:qFormat/>
    <w:uiPriority w:val="99"/>
    <w:rPr>
      <w:rFonts w:asciiTheme="minorHAnsi" w:hAnsiTheme="minorHAnsi" w:eastAsiaTheme="minorEastAsia" w:cstheme="minorBidi"/>
      <w:kern w:val="2"/>
      <w:sz w:val="18"/>
      <w:szCs w:val="18"/>
    </w:rPr>
  </w:style>
  <w:style w:type="paragraph" w:customStyle="1" w:styleId="61">
    <w:name w:val="前言、引言标题"/>
    <w:next w:val="1"/>
    <w:qFormat/>
    <w:uiPriority w:val="0"/>
    <w:pPr>
      <w:shd w:val="clear" w:color="FFFFFF" w:fill="FFFFFF"/>
      <w:spacing w:before="640" w:after="560"/>
      <w:jc w:val="center"/>
      <w:outlineLvl w:val="0"/>
    </w:pPr>
    <w:rPr>
      <w:rFonts w:ascii="黑体" w:hAnsi="Times New Roman" w:eastAsia="黑体" w:cs="Times New Roman"/>
      <w:b/>
      <w:sz w:val="32"/>
      <w:lang w:val="en-US" w:eastAsia="zh-CN" w:bidi="ar-SA"/>
    </w:rPr>
  </w:style>
  <w:style w:type="character" w:customStyle="1" w:styleId="62">
    <w:name w:val="标题 1 字符"/>
    <w:basedOn w:val="27"/>
    <w:link w:val="4"/>
    <w:qFormat/>
    <w:uiPriority w:val="9"/>
    <w:rPr>
      <w:rFonts w:asciiTheme="minorHAnsi" w:hAnsiTheme="minorHAnsi" w:eastAsiaTheme="minorEastAsia" w:cstheme="minorBidi"/>
      <w:b/>
      <w:kern w:val="44"/>
      <w:sz w:val="44"/>
      <w:szCs w:val="24"/>
    </w:rPr>
  </w:style>
  <w:style w:type="character" w:customStyle="1" w:styleId="63">
    <w:name w:val="标题 字符"/>
    <w:basedOn w:val="27"/>
    <w:link w:val="3"/>
    <w:qFormat/>
    <w:uiPriority w:val="0"/>
    <w:rPr>
      <w:rFonts w:ascii="Cambria" w:hAnsi="Cambria" w:eastAsia="黑体" w:cstheme="minorBidi"/>
      <w:bCs/>
      <w:kern w:val="28"/>
      <w:sz w:val="32"/>
      <w:szCs w:val="32"/>
    </w:rPr>
  </w:style>
  <w:style w:type="character" w:customStyle="1" w:styleId="64">
    <w:name w:val="正文文本 字符"/>
    <w:basedOn w:val="63"/>
    <w:link w:val="2"/>
    <w:qFormat/>
    <w:uiPriority w:val="0"/>
    <w:rPr>
      <w:rFonts w:ascii="Cambria" w:hAnsi="Cambria" w:eastAsia="黑体" w:cstheme="minorBidi"/>
      <w:kern w:val="28"/>
      <w:sz w:val="32"/>
      <w:szCs w:val="32"/>
    </w:rPr>
  </w:style>
  <w:style w:type="character" w:customStyle="1" w:styleId="65">
    <w:name w:val="段 Char"/>
    <w:link w:val="38"/>
    <w:qFormat/>
    <w:uiPriority w:val="0"/>
    <w:rPr>
      <w:rFonts w:ascii="宋体"/>
      <w:sz w:val="22"/>
    </w:rPr>
  </w:style>
  <w:style w:type="paragraph" w:customStyle="1" w:styleId="66">
    <w:name w:val="三级小标"/>
    <w:basedOn w:val="1"/>
    <w:qFormat/>
    <w:uiPriority w:val="0"/>
    <w:pPr>
      <w:keepNext/>
      <w:keepLines/>
      <w:spacing w:line="360" w:lineRule="auto"/>
      <w:outlineLvl w:val="0"/>
    </w:pPr>
    <w:rPr>
      <w:rFonts w:hint="eastAsia" w:ascii="黑体" w:hAnsi="黑体" w:eastAsia="黑体" w:cs="Times New Roman"/>
      <w:color w:val="000000"/>
      <w:kern w:val="44"/>
      <w:szCs w:val="20"/>
    </w:rPr>
  </w:style>
  <w:style w:type="character" w:customStyle="1" w:styleId="67">
    <w:name w:val="样式2 Char"/>
    <w:link w:val="43"/>
    <w:qFormat/>
    <w:uiPriority w:val="0"/>
    <w:rPr>
      <w:rFonts w:ascii="EU-F1" w:eastAsia="黑体"/>
      <w:kern w:val="2"/>
      <w:sz w:val="21"/>
      <w:szCs w:val="24"/>
    </w:rPr>
  </w:style>
  <w:style w:type="paragraph" w:customStyle="1" w:styleId="68">
    <w:name w:val="一级小标"/>
    <w:basedOn w:val="1"/>
    <w:next w:val="1"/>
    <w:qFormat/>
    <w:uiPriority w:val="0"/>
    <w:pPr>
      <w:keepNext/>
      <w:keepLines/>
      <w:spacing w:line="360" w:lineRule="auto"/>
      <w:outlineLvl w:val="0"/>
    </w:pPr>
    <w:rPr>
      <w:rFonts w:hint="eastAsia" w:ascii="黑体" w:hAnsi="黑体" w:eastAsia="黑体" w:cs="Times New Roman"/>
      <w:color w:val="000000"/>
      <w:kern w:val="44"/>
      <w:szCs w:val="20"/>
    </w:rPr>
  </w:style>
  <w:style w:type="character" w:customStyle="1" w:styleId="69">
    <w:name w:val="10"/>
    <w:basedOn w:val="27"/>
    <w:qFormat/>
    <w:uiPriority w:val="0"/>
    <w:rPr>
      <w:rFonts w:hint="default" w:ascii="Times New Roman" w:hAnsi="Times New Roman" w:cs="Times New Roman"/>
    </w:rPr>
  </w:style>
  <w:style w:type="character" w:customStyle="1" w:styleId="70">
    <w:name w:val="15"/>
    <w:basedOn w:val="27"/>
    <w:qFormat/>
    <w:uiPriority w:val="0"/>
    <w:rPr>
      <w:rFonts w:hint="default" w:ascii="Times New Roman" w:hAnsi="Times New Roman" w:cs="Times New Roman"/>
      <w:sz w:val="21"/>
      <w:szCs w:val="21"/>
    </w:rPr>
  </w:style>
  <w:style w:type="paragraph" w:customStyle="1" w:styleId="71">
    <w:name w:val="修订4"/>
    <w:hidden/>
    <w:unhideWhenUsed/>
    <w:qFormat/>
    <w:uiPriority w:val="99"/>
    <w:rPr>
      <w:rFonts w:asciiTheme="minorHAnsi" w:hAnsiTheme="minorHAnsi" w:eastAsiaTheme="minorEastAsia" w:cstheme="minorBidi"/>
      <w:kern w:val="2"/>
      <w:sz w:val="21"/>
      <w:szCs w:val="24"/>
      <w:lang w:val="en-US" w:eastAsia="zh-CN" w:bidi="ar-SA"/>
    </w:rPr>
  </w:style>
  <w:style w:type="paragraph" w:customStyle="1" w:styleId="72">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9" Type="http://schemas.openxmlformats.org/officeDocument/2006/relationships/fontTable" Target="fontTable.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2.png"/><Relationship Id="rId15" Type="http://schemas.openxmlformats.org/officeDocument/2006/relationships/image" Target="media/image1.wmf"/><Relationship Id="rId14" Type="http://schemas.openxmlformats.org/officeDocument/2006/relationships/oleObject" Target="embeddings/oleObject1.bin"/><Relationship Id="rId13" Type="http://schemas.openxmlformats.org/officeDocument/2006/relationships/theme" Target="theme/theme1.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21</Pages>
  <Words>14280</Words>
  <Characters>17087</Characters>
  <Lines>154</Lines>
  <Paragraphs>43</Paragraphs>
  <TotalTime>43</TotalTime>
  <ScaleCrop>false</ScaleCrop>
  <LinksUpToDate>false</LinksUpToDate>
  <CharactersWithSpaces>18049</CharactersWithSpaces>
  <Application>WPS Office_12.1.0.18912_F1E327BC-269C-435d-A152-05C5408002CA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2023-03-02T12:06:00Z</dcterms:created>
  <dc:creator>lihuisheng</dc:creator>
  <cp:lastModifiedBy>Lenovo</cp:lastModifiedBy>
  <cp:lastPrinted>2023-04-23T03:26:00Z</cp:lastPrinted>
  <dcterms:modified xsi:type="dcterms:W3CDTF">2024-11-28T06:35:24Z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2052-12.1.0.18912</vt:lpwstr>
  </property>
  <property fmtid="{D5CDD505-2E9C-101B-9397-08002B2CF9AE}" pid="3" name="ICV">
    <vt:lpwstr>E7D6015086D2494EAC16EFFAD5371854</vt:lpwstr>
  </property>
</Properties>
</file>